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media/hdphoto1.wdp" ContentType="image/vnd.ms-photo"/>
  <Override PartName="/word/media/image3.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overflowPunct w:val="false"/>
        <w:bidi w:val="0"/>
        <w:spacing w:lineRule="auto" w:line="240" w:before="0" w:after="0"/>
        <w:ind w:left="113" w:right="0" w:hanging="0"/>
        <w:jc w:val="both"/>
        <w:rPr>
          <w:sz w:val="20"/>
          <w:szCs w:val="20"/>
        </w:rPr>
      </w:pPr>
      <w:r>
        <w:rPr>
          <w:rFonts w:eastAsia="Times New Roman" w:cs="Times New Roman" w:ascii="Century Gothic" w:hAnsi="Century Gothic"/>
          <w:shadow w:val="false"/>
          <w:color w:val="auto"/>
          <w:kern w:val="0"/>
          <w:sz w:val="20"/>
          <w:szCs w:val="20"/>
          <w:lang w:val="pt-BR" w:eastAsia="pt-BR" w:bidi="ar-SA"/>
        </w:rPr>
        <w:t>Ao Senhor,</w:t>
      </w:r>
    </w:p>
    <w:p>
      <w:pPr>
        <w:pStyle w:val="Normal"/>
        <w:widowControl/>
        <w:suppressAutoHyphens w:val="true"/>
        <w:overflowPunct w:val="false"/>
        <w:bidi w:val="0"/>
        <w:spacing w:lineRule="auto" w:line="240" w:before="0" w:after="0"/>
        <w:ind w:left="113" w:right="0" w:hanging="0"/>
        <w:jc w:val="both"/>
        <w:rPr>
          <w:sz w:val="20"/>
          <w:szCs w:val="20"/>
        </w:rPr>
      </w:pPr>
      <w:r>
        <w:rPr>
          <w:sz w:val="20"/>
          <w:szCs w:val="20"/>
        </w:rPr>
      </w:r>
    </w:p>
    <w:p>
      <w:pPr>
        <w:pStyle w:val="Normal"/>
        <w:widowControl/>
        <w:suppressAutoHyphens w:val="true"/>
        <w:overflowPunct w:val="false"/>
        <w:bidi w:val="0"/>
        <w:spacing w:lineRule="auto" w:line="276" w:before="0" w:after="0"/>
        <w:ind w:left="113" w:right="0" w:hanging="0"/>
        <w:jc w:val="left"/>
        <w:rPr>
          <w:rFonts w:ascii="Century Gothic" w:hAnsi="Century Gothic" w:eastAsia="Times New Roman" w:cs="Times New Roman"/>
          <w:b/>
          <w:b/>
          <w:bCs/>
          <w:shadow w:val="false"/>
          <w:color w:val="auto"/>
          <w:kern w:val="0"/>
          <w:sz w:val="20"/>
          <w:szCs w:val="20"/>
          <w:lang w:val="pt-BR" w:eastAsia="pt-BR" w:bidi="ar-SA"/>
        </w:rPr>
      </w:pPr>
      <w:r>
        <w:rPr>
          <w:rFonts w:eastAsia="Times New Roman" w:cs="Times New Roman" w:ascii="Century Gothic" w:hAnsi="Century Gothic"/>
          <w:b/>
          <w:bCs/>
          <w:shadow w:val="false"/>
          <w:color w:val="auto"/>
          <w:kern w:val="0"/>
          <w:sz w:val="20"/>
          <w:szCs w:val="20"/>
          <w:lang w:val="pt-BR" w:eastAsia="pt-BR" w:bidi="ar-SA"/>
        </w:rPr>
        <w:t>LUCIANO RODRIGUES</w:t>
      </w:r>
    </w:p>
    <w:p>
      <w:pPr>
        <w:pStyle w:val="Normal"/>
        <w:widowControl/>
        <w:suppressAutoHyphens w:val="true"/>
        <w:overflowPunct w:val="false"/>
        <w:bidi w:val="0"/>
        <w:spacing w:lineRule="auto" w:line="276" w:before="0" w:after="0"/>
        <w:ind w:left="113" w:right="397" w:hanging="0"/>
        <w:jc w:val="both"/>
        <w:rPr/>
      </w:pPr>
      <w:r>
        <w:rPr>
          <w:rFonts w:eastAsia="Times New Roman" w:cs="Times New Roman" w:ascii="Century Gothic" w:hAnsi="Century Gothic"/>
          <w:b w:val="false"/>
          <w:bCs w:val="false"/>
          <w:shadow w:val="false"/>
          <w:color w:val="000000"/>
          <w:kern w:val="0"/>
          <w:sz w:val="20"/>
          <w:szCs w:val="20"/>
          <w:lang w:val="pt-BR" w:eastAsia="pt-BR" w:bidi="ar-SA"/>
        </w:rPr>
        <w:t>Secretário Municipal de Administração, Gestão de Pessoas e Inovação</w:t>
      </w:r>
    </w:p>
    <w:p>
      <w:pPr>
        <w:pStyle w:val="Normal"/>
        <w:widowControl/>
        <w:suppressAutoHyphens w:val="true"/>
        <w:overflowPunct w:val="true"/>
        <w:bidi w:val="0"/>
        <w:spacing w:lineRule="auto" w:line="276" w:before="0" w:after="0"/>
        <w:ind w:left="113" w:right="397" w:hanging="0"/>
        <w:jc w:val="both"/>
        <w:rPr/>
      </w:pPr>
      <w:r>
        <w:rPr>
          <w:rFonts w:eastAsia="Times New Roman" w:cs="Times New Roman" w:ascii="Century Gothic" w:hAnsi="Century Gothic"/>
          <w:sz w:val="20"/>
          <w:szCs w:val="20"/>
          <w:lang w:eastAsia="pt-BR"/>
        </w:rPr>
        <w:t>Avenida Duque de Caxias, 1000, Vila Aurora</w:t>
      </w:r>
    </w:p>
    <w:p>
      <w:pPr>
        <w:pStyle w:val="Normal"/>
        <w:widowControl/>
        <w:suppressAutoHyphens w:val="true"/>
        <w:overflowPunct w:val="true"/>
        <w:bidi w:val="0"/>
        <w:spacing w:lineRule="auto" w:line="276" w:before="0" w:after="0"/>
        <w:ind w:left="113" w:right="0" w:hanging="0"/>
        <w:jc w:val="both"/>
        <w:rPr/>
      </w:pPr>
      <w:r>
        <w:rPr>
          <w:rFonts w:eastAsia="Times New Roman" w:cs="Times New Roman" w:ascii="Century Gothic" w:hAnsi="Century Gothic"/>
          <w:b w:val="false"/>
          <w:bCs w:val="false"/>
          <w:shadow w:val="false"/>
          <w:color w:val="auto"/>
          <w:kern w:val="0"/>
          <w:sz w:val="20"/>
          <w:szCs w:val="20"/>
          <w:lang w:val="pt-BR" w:eastAsia="pt-BR" w:bidi="ar-SA"/>
        </w:rPr>
        <w:t>78740-022, Rondonópolis/MT</w:t>
      </w:r>
    </w:p>
    <w:p>
      <w:pPr>
        <w:pStyle w:val="Normal"/>
        <w:widowControl/>
        <w:suppressAutoHyphens w:val="true"/>
        <w:overflowPunct w:val="true"/>
        <w:bidi w:val="0"/>
        <w:spacing w:lineRule="auto" w:line="240" w:before="0" w:after="0"/>
        <w:ind w:left="113" w:right="0" w:hanging="0"/>
        <w:jc w:val="both"/>
        <w:rPr>
          <w:sz w:val="10"/>
          <w:szCs w:val="10"/>
        </w:rPr>
      </w:pPr>
      <w:r>
        <w:rPr>
          <w:sz w:val="10"/>
          <w:szCs w:val="10"/>
        </w:rPr>
      </w:r>
    </w:p>
    <w:p>
      <w:pPr>
        <w:pStyle w:val="Normal"/>
        <w:spacing w:lineRule="auto" w:line="240" w:before="0" w:after="0"/>
        <w:ind w:left="-142" w:right="0" w:hanging="0"/>
        <w:jc w:val="both"/>
        <w:rPr>
          <w:rFonts w:ascii="Century Gothic" w:hAnsi="Century Gothic" w:eastAsia="Times New Roman" w:cs="Times New Roman"/>
          <w:sz w:val="20"/>
          <w:szCs w:val="20"/>
          <w:lang w:eastAsia="pt-BR"/>
        </w:rPr>
      </w:pPr>
      <w:r>
        <w:rPr>
          <w:rFonts w:eastAsia="Times New Roman" w:cs="Times New Roman" w:ascii="Century Gothic" w:hAnsi="Century Gothic"/>
          <w:sz w:val="20"/>
          <w:szCs w:val="20"/>
          <w:lang w:eastAsia="pt-BR"/>
        </w:rPr>
      </w:r>
    </w:p>
    <w:p>
      <w:pPr>
        <w:pStyle w:val="Normal"/>
        <w:widowControl/>
        <w:suppressAutoHyphens w:val="true"/>
        <w:overflowPunct w:val="false"/>
        <w:bidi w:val="0"/>
        <w:spacing w:lineRule="auto" w:line="240" w:before="0" w:after="0"/>
        <w:ind w:left="113" w:right="0" w:hanging="0"/>
        <w:jc w:val="both"/>
        <w:rPr>
          <w:sz w:val="20"/>
          <w:szCs w:val="20"/>
        </w:rPr>
      </w:pPr>
      <w:r>
        <w:rPr>
          <w:rFonts w:eastAsia="Times New Roman" w:cs="Times New Roman" w:ascii="Century Gothic" w:hAnsi="Century Gothic"/>
          <w:b/>
          <w:bCs/>
          <w:shadow w:val="false"/>
          <w:color w:val="auto"/>
          <w:kern w:val="0"/>
          <w:sz w:val="20"/>
          <w:szCs w:val="20"/>
          <w:lang w:val="pt-BR" w:eastAsia="pt-BR" w:bidi="ar-SA"/>
        </w:rPr>
        <w:t>ASSUNTO:</w:t>
      </w:r>
      <w:r>
        <w:rPr>
          <w:rFonts w:eastAsia="Times New Roman" w:cs="Times New Roman" w:ascii="Century Gothic" w:hAnsi="Century Gothic"/>
          <w:shadow/>
          <w:sz w:val="20"/>
          <w:szCs w:val="20"/>
          <w:lang w:eastAsia="pt-BR"/>
        </w:rPr>
        <w:t xml:space="preserve"> </w:t>
      </w:r>
      <w:r>
        <w:rPr>
          <w:rFonts w:eastAsia="Times New Roman" w:cs="Times New Roman" w:ascii="Century Gothic" w:hAnsi="Century Gothic"/>
          <w:shadow w:val="false"/>
          <w:sz w:val="20"/>
          <w:szCs w:val="20"/>
          <w:lang w:eastAsia="pt-BR"/>
        </w:rPr>
        <w:t xml:space="preserve">Solicitação a inclusão no Plano de Contratação </w:t>
      </w:r>
      <w:r>
        <w:rPr>
          <w:rFonts w:eastAsia="Times New Roman" w:cs="Times New Roman" w:ascii="Century Gothic" w:hAnsi="Century Gothic"/>
          <w:b/>
          <w:bCs/>
          <w:shadow w:val="false"/>
          <w:color w:val="auto"/>
          <w:kern w:val="0"/>
          <w:sz w:val="20"/>
          <w:szCs w:val="20"/>
          <w:lang w:val="pt-BR" w:eastAsia="pt-BR" w:bidi="ar-SA"/>
        </w:rPr>
        <w:t>(P</w:t>
      </w:r>
      <w:r>
        <w:rPr>
          <w:rFonts w:eastAsia="Times New Roman" w:cs="Times New Roman" w:ascii="Century Gothic" w:hAnsi="Century Gothic"/>
          <w:b/>
          <w:bCs/>
          <w:shadow w:val="false"/>
          <w:sz w:val="20"/>
          <w:szCs w:val="20"/>
          <w:lang w:eastAsia="pt-BR"/>
        </w:rPr>
        <w:t>AC)</w:t>
      </w:r>
      <w:r>
        <w:rPr>
          <w:rFonts w:eastAsia="Times New Roman" w:cs="Times New Roman" w:ascii="Century Gothic" w:hAnsi="Century Gothic"/>
          <w:shadow w:val="false"/>
          <w:sz w:val="20"/>
          <w:szCs w:val="20"/>
          <w:lang w:eastAsia="pt-BR"/>
        </w:rPr>
        <w:t>.</w:t>
      </w:r>
    </w:p>
    <w:p>
      <w:pPr>
        <w:pStyle w:val="Normal"/>
        <w:spacing w:lineRule="auto" w:line="240" w:before="0" w:after="0"/>
        <w:rPr>
          <w:rFonts w:ascii="Century Gothic" w:hAnsi="Century Gothic" w:eastAsia="Times New Roman" w:cs="Times New Roman"/>
          <w:sz w:val="20"/>
          <w:szCs w:val="20"/>
          <w:lang w:eastAsia="pt-BR"/>
        </w:rPr>
      </w:pPr>
      <w:r>
        <w:rPr>
          <w:rFonts w:eastAsia="Times New Roman" w:cs="Times New Roman" w:ascii="Century Gothic" w:hAnsi="Century Gothic"/>
          <w:sz w:val="20"/>
          <w:szCs w:val="20"/>
          <w:lang w:eastAsia="pt-BR"/>
        </w:rPr>
      </w:r>
    </w:p>
    <w:p>
      <w:pPr>
        <w:pStyle w:val="Normal"/>
        <w:spacing w:lineRule="auto" w:line="240" w:before="0" w:after="0"/>
        <w:rPr>
          <w:rFonts w:ascii="Century Gothic" w:hAnsi="Century Gothic" w:eastAsia="Times New Roman" w:cs="Times New Roman"/>
          <w:sz w:val="20"/>
          <w:szCs w:val="20"/>
          <w:lang w:eastAsia="pt-BR"/>
        </w:rPr>
      </w:pPr>
      <w:r>
        <w:rPr>
          <w:rFonts w:eastAsia="Times New Roman" w:cs="Times New Roman" w:ascii="Century Gothic" w:hAnsi="Century Gothic"/>
          <w:sz w:val="20"/>
          <w:szCs w:val="20"/>
          <w:lang w:eastAsia="pt-BR"/>
        </w:rPr>
      </w:r>
    </w:p>
    <w:p>
      <w:pPr>
        <w:pStyle w:val="Normal"/>
        <w:spacing w:lineRule="auto" w:line="240" w:before="0" w:after="0"/>
        <w:rPr>
          <w:rFonts w:ascii="Century Gothic" w:hAnsi="Century Gothic" w:eastAsia="Times New Roman" w:cs="Times New Roman"/>
          <w:sz w:val="10"/>
          <w:szCs w:val="10"/>
          <w:lang w:eastAsia="pt-BR"/>
        </w:rPr>
      </w:pPr>
      <w:r>
        <w:rPr>
          <w:rFonts w:eastAsia="Times New Roman" w:cs="Times New Roman" w:ascii="Century Gothic" w:hAnsi="Century Gothic"/>
          <w:sz w:val="10"/>
          <w:szCs w:val="10"/>
          <w:lang w:eastAsia="pt-BR"/>
        </w:rPr>
      </w:r>
    </w:p>
    <w:p>
      <w:pPr>
        <w:pStyle w:val="Normal"/>
        <w:widowControl/>
        <w:suppressAutoHyphens w:val="true"/>
        <w:overflowPunct w:val="false"/>
        <w:bidi w:val="0"/>
        <w:spacing w:lineRule="auto" w:line="360" w:before="0" w:after="0"/>
        <w:ind w:left="113" w:right="0" w:hanging="0"/>
        <w:jc w:val="both"/>
        <w:rPr/>
      </w:pPr>
      <w:r>
        <w:rPr>
          <w:rFonts w:eastAsia="Times New Roman" w:cs="Times New Roman" w:ascii="Century Gothic" w:hAnsi="Century Gothic"/>
          <w:shadow w:val="false"/>
          <w:color w:val="auto"/>
          <w:kern w:val="0"/>
          <w:sz w:val="20"/>
          <w:szCs w:val="20"/>
          <w:lang w:val="pt-BR" w:eastAsia="pt-BR" w:bidi="ar-SA"/>
        </w:rPr>
        <w:t>Prezados,</w:t>
      </w:r>
    </w:p>
    <w:p>
      <w:pPr>
        <w:pStyle w:val="Normal"/>
        <w:widowControl/>
        <w:suppressAutoHyphens w:val="true"/>
        <w:overflowPunct w:val="false"/>
        <w:bidi w:val="0"/>
        <w:spacing w:lineRule="auto" w:line="360" w:before="57" w:after="57"/>
        <w:ind w:left="113" w:right="454" w:hanging="0"/>
        <w:jc w:val="both"/>
        <w:rPr/>
      </w:pPr>
      <w:r>
        <w:rPr>
          <w:rFonts w:eastAsia="Times New Roman" w:cs="Times New Roman" w:ascii="Century Gothic" w:hAnsi="Century Gothic"/>
          <w:b w:val="false"/>
          <w:i w:val="false"/>
          <w:caps w:val="false"/>
          <w:smallCaps w:val="false"/>
          <w:color w:val="auto"/>
          <w:spacing w:val="0"/>
          <w:kern w:val="0"/>
          <w:sz w:val="20"/>
          <w:szCs w:val="20"/>
          <w:lang w:val="pt-BR" w:eastAsia="pt-BR" w:bidi="ar-SA"/>
        </w:rPr>
        <w:t xml:space="preserve">Cumprimentando-os cordialmente, fazemos uso do presente para a inclusão no Plano de Contratações (PAC) </w:t>
      </w:r>
      <w:r>
        <w:rPr>
          <w:rStyle w:val="Fontepargpadro1"/>
          <w:rFonts w:eastAsia="Lucida Sans Unicode" w:cs="Calibri" w:ascii="Century Gothic" w:hAnsi="Century Gothic" w:cstheme="minorHAnsi"/>
          <w:b w:val="false"/>
          <w:bCs w:val="false"/>
          <w:i w:val="false"/>
          <w:caps w:val="false"/>
          <w:smallCaps w:val="false"/>
          <w:color w:val="auto"/>
          <w:spacing w:val="0"/>
          <w:kern w:val="0"/>
          <w:sz w:val="20"/>
          <w:szCs w:val="20"/>
          <w:lang w:val="pt-BR" w:eastAsia="en-US" w:bidi="ar-SA"/>
        </w:rPr>
        <w:t>do objeto abaixo relacionado.</w:t>
      </w:r>
    </w:p>
    <w:p>
      <w:pPr>
        <w:pStyle w:val="Normal"/>
        <w:widowControl/>
        <w:suppressAutoHyphens w:val="true"/>
        <w:overflowPunct w:val="false"/>
        <w:bidi w:val="0"/>
        <w:spacing w:lineRule="auto" w:line="276" w:before="0" w:after="0"/>
        <w:ind w:left="57" w:right="397" w:hanging="0"/>
        <w:jc w:val="both"/>
        <w:rPr/>
      </w:pPr>
      <w:r>
        <w:rPr>
          <w:rStyle w:val="Strong"/>
          <w:rFonts w:eastAsia="Times New Romin;Times New Roman" w:cs="Arial" w:ascii="Century Gothic" w:hAnsi="Century Gothic"/>
          <w:i w:val="false"/>
          <w:iCs w:val="false"/>
          <w:caps w:val="false"/>
          <w:smallCaps w:val="false"/>
          <w:shadow w:val="false"/>
          <w:color w:val="000000"/>
          <w:spacing w:val="0"/>
          <w:kern w:val="0"/>
          <w:sz w:val="20"/>
          <w:szCs w:val="20"/>
          <w:u w:val="none"/>
          <w:shd w:fill="auto" w:val="clear"/>
          <w:lang w:val="pt-BR" w:eastAsia="zh-CN" w:bidi="ar-SA"/>
        </w:rPr>
        <w:t>CONSTRUÇÃO DE ESCOLA 13 SALAS PADRÃO FNDE</w:t>
      </w:r>
    </w:p>
    <w:p>
      <w:pPr>
        <w:pStyle w:val="Normal"/>
        <w:widowControl/>
        <w:suppressAutoHyphens w:val="true"/>
        <w:overflowPunct w:val="false"/>
        <w:bidi w:val="0"/>
        <w:spacing w:lineRule="auto" w:line="240" w:before="0" w:after="0"/>
        <w:ind w:left="113" w:right="510" w:hanging="0"/>
        <w:jc w:val="both"/>
        <w:rPr>
          <w:rStyle w:val="Fontepargpadro1"/>
          <w:rFonts w:ascii="Century Gothic" w:hAnsi="Century Gothic" w:eastAsia="Times New Romin;Times New Roman" w:cs="Times New Roman"/>
          <w:b/>
          <w:b/>
          <w:bCs/>
          <w:i w:val="false"/>
          <w:i w:val="false"/>
          <w:iCs w:val="false"/>
          <w:caps w:val="false"/>
          <w:smallCaps w:val="false"/>
          <w:shadow w:val="false"/>
          <w:color w:val="000000"/>
          <w:spacing w:val="0"/>
          <w:kern w:val="0"/>
          <w:sz w:val="10"/>
          <w:szCs w:val="10"/>
          <w:u w:val="none"/>
          <w:shd w:fill="auto" w:val="clear"/>
          <w:lang w:val="pt-BR" w:eastAsia="zh-CN" w:bidi="ar-SA"/>
        </w:rPr>
      </w:pPr>
      <w:r>
        <w:rPr>
          <w:rFonts w:eastAsia="Times New Romin;Times New Roman" w:cs="Times New Roman" w:ascii="Century Gothic" w:hAnsi="Century Gothic"/>
          <w:b/>
          <w:bCs/>
          <w:i w:val="false"/>
          <w:iCs w:val="false"/>
          <w:caps w:val="false"/>
          <w:smallCaps w:val="false"/>
          <w:shadow w:val="false"/>
          <w:color w:val="000000"/>
          <w:spacing w:val="0"/>
          <w:kern w:val="0"/>
          <w:sz w:val="10"/>
          <w:szCs w:val="10"/>
          <w:u w:val="none"/>
          <w:shd w:fill="auto" w:val="clear"/>
          <w:lang w:val="pt-BR" w:eastAsia="zh-CN" w:bidi="ar-SA"/>
        </w:rPr>
      </w:r>
    </w:p>
    <w:tbl>
      <w:tblPr>
        <w:tblW w:w="9505" w:type="dxa"/>
        <w:jc w:val="left"/>
        <w:tblInd w:w="175" w:type="dxa"/>
        <w:tblLayout w:type="fixed"/>
        <w:tblCellMar>
          <w:top w:w="55" w:type="dxa"/>
          <w:left w:w="55" w:type="dxa"/>
          <w:bottom w:w="55" w:type="dxa"/>
          <w:right w:w="55" w:type="dxa"/>
        </w:tblCellMar>
      </w:tblPr>
      <w:tblGrid>
        <w:gridCol w:w="7363"/>
        <w:gridCol w:w="2141"/>
      </w:tblGrid>
      <w:tr>
        <w:trPr/>
        <w:tc>
          <w:tcPr>
            <w:tcW w:w="7363" w:type="dxa"/>
            <w:tcBorders>
              <w:top w:val="single" w:sz="4" w:space="0" w:color="000000"/>
              <w:left w:val="single" w:sz="4" w:space="0" w:color="000000"/>
              <w:bottom w:val="single" w:sz="4" w:space="0" w:color="000000"/>
            </w:tcBorders>
            <w:shd w:fill="DDDDDD" w:val="clear"/>
          </w:tcPr>
          <w:p>
            <w:pPr>
              <w:pStyle w:val="Contedodatabela"/>
              <w:widowControl w:val="false"/>
              <w:jc w:val="center"/>
              <w:rPr>
                <w:rFonts w:ascii="Century Gothic" w:hAnsi="Century Gothic"/>
                <w:b/>
                <w:b/>
                <w:bCs/>
                <w:sz w:val="20"/>
                <w:szCs w:val="20"/>
              </w:rPr>
            </w:pPr>
            <w:r>
              <w:rPr>
                <w:rFonts w:ascii="Century Gothic" w:hAnsi="Century Gothic"/>
                <w:b/>
                <w:bCs/>
                <w:sz w:val="20"/>
                <w:szCs w:val="20"/>
              </w:rPr>
              <w:t>ÁREA REQUISITANTE</w:t>
            </w:r>
          </w:p>
        </w:tc>
        <w:tc>
          <w:tcPr>
            <w:tcW w:w="2141" w:type="dxa"/>
            <w:tcBorders>
              <w:top w:val="single" w:sz="4" w:space="0" w:color="000000"/>
              <w:left w:val="single" w:sz="4" w:space="0" w:color="000000"/>
              <w:bottom w:val="single" w:sz="4" w:space="0" w:color="000000"/>
              <w:right w:val="single" w:sz="4" w:space="0" w:color="000000"/>
            </w:tcBorders>
            <w:shd w:fill="DDDDDD" w:val="clear"/>
          </w:tcPr>
          <w:p>
            <w:pPr>
              <w:pStyle w:val="Contedodatabela"/>
              <w:widowControl w:val="false"/>
              <w:jc w:val="center"/>
              <w:rPr>
                <w:rFonts w:ascii="Century Gothic" w:hAnsi="Century Gothic"/>
                <w:b/>
                <w:b/>
                <w:bCs/>
                <w:sz w:val="20"/>
                <w:szCs w:val="20"/>
              </w:rPr>
            </w:pPr>
            <w:r>
              <w:rPr>
                <w:rFonts w:ascii="Century Gothic" w:hAnsi="Century Gothic"/>
                <w:b/>
                <w:bCs/>
                <w:sz w:val="20"/>
                <w:szCs w:val="20"/>
              </w:rPr>
              <w:t>VALOR</w:t>
            </w:r>
          </w:p>
        </w:tc>
      </w:tr>
      <w:tr>
        <w:trPr/>
        <w:tc>
          <w:tcPr>
            <w:tcW w:w="7363" w:type="dxa"/>
            <w:tcBorders>
              <w:left w:val="single" w:sz="4" w:space="0" w:color="000000"/>
              <w:bottom w:val="single" w:sz="4" w:space="0" w:color="000000"/>
            </w:tcBorders>
          </w:tcPr>
          <w:p>
            <w:pPr>
              <w:pStyle w:val="Normal"/>
              <w:widowControl w:val="false"/>
              <w:suppressAutoHyphens w:val="true"/>
              <w:bidi w:val="0"/>
              <w:spacing w:before="0" w:after="0"/>
              <w:ind w:left="-57" w:right="0" w:hanging="0"/>
              <w:jc w:val="center"/>
              <w:rPr>
                <w:rFonts w:ascii="Century Gothic" w:hAnsi="Century Gothic"/>
                <w:b w:val="false"/>
                <w:b w:val="false"/>
                <w:bCs w:val="false"/>
                <w:sz w:val="20"/>
                <w:szCs w:val="20"/>
              </w:rPr>
            </w:pPr>
            <w:r>
              <w:rPr>
                <w:rFonts w:eastAsia="Calibri" w:cs="" w:ascii="Century Gothic" w:hAnsi="Century Gothic" w:cstheme="minorBidi" w:eastAsiaTheme="minorHAnsi"/>
                <w:b w:val="false"/>
                <w:bCs w:val="false"/>
                <w:color w:val="000000"/>
                <w:sz w:val="20"/>
                <w:szCs w:val="20"/>
                <w:lang w:eastAsia="en-US"/>
              </w:rPr>
              <w:t>SECRETARIA MUNICIPAL DE EDUCAÇÃO, CULTURA, ESPORTE E LAZER</w:t>
            </w:r>
          </w:p>
        </w:tc>
        <w:tc>
          <w:tcPr>
            <w:tcW w:w="2141" w:type="dxa"/>
            <w:tcBorders>
              <w:left w:val="single" w:sz="4" w:space="0" w:color="000000"/>
              <w:bottom w:val="single" w:sz="4" w:space="0" w:color="000000"/>
              <w:right w:val="single" w:sz="4" w:space="0" w:color="000000"/>
            </w:tcBorders>
          </w:tcPr>
          <w:p>
            <w:pPr>
              <w:pStyle w:val="Standard"/>
              <w:widowControl w:val="false"/>
              <w:spacing w:lineRule="auto" w:line="276"/>
              <w:jc w:val="center"/>
              <w:rPr>
                <w:rStyle w:val="Fontepargpadro1"/>
                <w:rFonts w:ascii="Century Gothic" w:hAnsi="Century Gothic" w:eastAsia="DejaVu Sans" w:cs="Arial"/>
                <w:b/>
                <w:b/>
                <w:bCs/>
                <w:i w:val="false"/>
                <w:i w:val="false"/>
                <w:caps w:val="false"/>
                <w:smallCaps w:val="false"/>
                <w:color w:val="000000"/>
                <w:spacing w:val="0"/>
                <w:kern w:val="0"/>
                <w:sz w:val="20"/>
                <w:szCs w:val="20"/>
                <w:lang w:val="pt-PT" w:eastAsia="hi-IN" w:bidi="hi-IN"/>
              </w:rPr>
            </w:pPr>
            <w:r>
              <w:rPr>
                <w:rStyle w:val="Fontepargpadro1"/>
                <w:rFonts w:eastAsia="Times New Romin;Times New Roman" w:cs="Times New Roman" w:ascii="Century Gothic" w:hAnsi="Century Gothic"/>
                <w:b/>
                <w:bCs/>
                <w:i w:val="false"/>
                <w:iCs w:val="false"/>
                <w:caps w:val="false"/>
                <w:smallCaps w:val="false"/>
                <w:color w:val="000000"/>
                <w:spacing w:val="0"/>
                <w:kern w:val="0"/>
                <w:sz w:val="20"/>
                <w:szCs w:val="20"/>
                <w:shd w:fill="auto" w:val="clear"/>
                <w:lang w:val="pt-BR" w:eastAsia="zh-CN" w:bidi="ar-SA"/>
              </w:rPr>
              <w:t>R$ 1</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1.</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985</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728</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w:t>
            </w:r>
            <w:r>
              <w:rPr>
                <w:rStyle w:val="Fontepargpadro1"/>
                <w:rFonts w:eastAsia="DejaVu Sans" w:cs="Arial" w:ascii="Century Gothic" w:hAnsi="Century Gothic"/>
                <w:b/>
                <w:bCs/>
                <w:i w:val="false"/>
                <w:iCs w:val="false"/>
                <w:caps w:val="false"/>
                <w:smallCaps w:val="false"/>
                <w:color w:val="000000"/>
                <w:spacing w:val="0"/>
                <w:kern w:val="0"/>
                <w:sz w:val="20"/>
                <w:szCs w:val="20"/>
                <w:shd w:fill="auto" w:val="clear"/>
                <w:lang w:val="pt-PT" w:eastAsia="hi-IN" w:bidi="hi-IN"/>
              </w:rPr>
              <w:t>64</w:t>
            </w:r>
          </w:p>
        </w:tc>
      </w:tr>
    </w:tbl>
    <w:p>
      <w:pPr>
        <w:pStyle w:val="Normal"/>
        <w:widowControl/>
        <w:tabs>
          <w:tab w:val="clear" w:pos="708"/>
        </w:tabs>
        <w:suppressAutoHyphens w:val="true"/>
        <w:overflowPunct w:val="false"/>
        <w:bidi w:val="0"/>
        <w:spacing w:lineRule="auto" w:line="276" w:before="0" w:after="0"/>
        <w:ind w:left="113" w:right="397" w:hanging="0"/>
        <w:jc w:val="both"/>
        <w:rPr>
          <w:sz w:val="20"/>
          <w:szCs w:val="20"/>
        </w:rPr>
      </w:pPr>
      <w:r>
        <w:rPr>
          <w:sz w:val="20"/>
          <w:szCs w:val="20"/>
        </w:rPr>
      </w:r>
    </w:p>
    <w:p>
      <w:pPr>
        <w:pStyle w:val="Normal"/>
        <w:widowControl/>
        <w:suppressAutoHyphens w:val="true"/>
        <w:overflowPunct w:val="false"/>
        <w:bidi w:val="0"/>
        <w:spacing w:lineRule="auto" w:line="276" w:before="114" w:after="114"/>
        <w:ind w:left="113" w:right="454" w:hanging="0"/>
        <w:jc w:val="both"/>
        <w:rPr/>
      </w:pPr>
      <w:r>
        <w:rPr>
          <w:rFonts w:eastAsia="Times New Roman" w:cs="Times New Roman" w:ascii="Century Gothic" w:hAnsi="Century Gothic"/>
          <w:b w:val="false"/>
          <w:i w:val="false"/>
          <w:caps w:val="false"/>
          <w:smallCaps w:val="false"/>
          <w:color w:val="auto"/>
          <w:spacing w:val="0"/>
          <w:kern w:val="0"/>
          <w:sz w:val="20"/>
          <w:szCs w:val="20"/>
          <w:lang w:val="pt-BR" w:eastAsia="pt-BR" w:bidi="ar-SA"/>
        </w:rPr>
        <w:t>O Plano Anual de Contratações (PAC) é um dos instrumentos de governança e gestão das aquisições no qual o órgão ou entidade informa todas as demandas de bens, serviços e soluções de tecnologia da informação e comunicações que pretende contratar no exercício subsequente a fim de possibilitar uma melhor articulação do planejamento das contratações com a proposta orçamentária. Ademais segue abaixo tabela com valor referencial do objeto.</w:t>
      </w:r>
    </w:p>
    <w:p>
      <w:pPr>
        <w:pStyle w:val="Normal"/>
        <w:widowControl/>
        <w:suppressAutoHyphens w:val="true"/>
        <w:overflowPunct w:val="false"/>
        <w:bidi w:val="0"/>
        <w:spacing w:lineRule="auto" w:line="276" w:before="0" w:after="0"/>
        <w:ind w:left="113" w:right="454" w:hanging="0"/>
        <w:jc w:val="both"/>
        <w:rPr/>
      </w:pPr>
      <w:r>
        <w:rPr>
          <w:rFonts w:eastAsia="Times New Romin;Times New Roman" w:cs="Times New Roman" w:ascii="Century Gothic" w:hAnsi="Century Gothic"/>
          <w:color w:val="auto"/>
          <w:kern w:val="0"/>
          <w:sz w:val="20"/>
          <w:szCs w:val="20"/>
          <w:lang w:val="pt-BR" w:eastAsia="zh-CN" w:bidi="ar-SA"/>
        </w:rPr>
        <w:t>Agradecemos a atenção e colocamo-nos à disposição para quaisquer esclarecimentos adicionais que se façam necessários.</w:t>
      </w:r>
    </w:p>
    <w:p>
      <w:pPr>
        <w:pStyle w:val="Normal"/>
        <w:widowControl/>
        <w:suppressAutoHyphens w:val="true"/>
        <w:overflowPunct w:val="false"/>
        <w:bidi w:val="0"/>
        <w:spacing w:lineRule="auto" w:line="360" w:before="0" w:after="0"/>
        <w:ind w:left="-454" w:right="397" w:hanging="0"/>
        <w:jc w:val="both"/>
        <w:rPr>
          <w:rFonts w:ascii="Century Gothic" w:hAnsi="Century Gothic" w:eastAsia="Times New Romin;Times New Roman" w:cs="Times New Roman"/>
          <w:color w:val="auto"/>
          <w:kern w:val="0"/>
          <w:sz w:val="21"/>
          <w:szCs w:val="21"/>
          <w:lang w:val="pt-BR" w:eastAsia="zh-CN" w:bidi="ar-SA"/>
        </w:rPr>
      </w:pPr>
      <w:r>
        <w:rPr>
          <w:rFonts w:eastAsia="Times New Romin;Times New Roman" w:cs="Times New Roman" w:ascii="Century Gothic" w:hAnsi="Century Gothic"/>
          <w:color w:val="auto"/>
          <w:kern w:val="0"/>
          <w:sz w:val="21"/>
          <w:szCs w:val="21"/>
          <w:lang w:val="pt-BR" w:eastAsia="zh-CN" w:bidi="ar-SA"/>
        </w:rPr>
      </w:r>
    </w:p>
    <w:p>
      <w:pPr>
        <w:pStyle w:val="Normal"/>
        <w:widowControl/>
        <w:suppressAutoHyphens w:val="true"/>
        <w:overflowPunct w:val="false"/>
        <w:bidi w:val="0"/>
        <w:spacing w:lineRule="auto" w:line="360" w:before="0" w:after="0"/>
        <w:ind w:left="113" w:right="454" w:hanging="0"/>
        <w:jc w:val="left"/>
        <w:rPr>
          <w:sz w:val="20"/>
          <w:szCs w:val="20"/>
        </w:rPr>
      </w:pPr>
      <w:r>
        <w:rPr>
          <w:rFonts w:eastAsia="Times New Romin;Times New Roman" w:cs="Times New Roman" w:ascii="Century Gothic" w:hAnsi="Century Gothic"/>
          <w:b w:val="false"/>
          <w:bCs w:val="false"/>
          <w:color w:val="auto"/>
          <w:kern w:val="0"/>
          <w:sz w:val="20"/>
          <w:szCs w:val="20"/>
          <w:lang w:val="pt-BR" w:eastAsia="zh-CN" w:bidi="ar-SA"/>
        </w:rPr>
        <w:t>Atenciosamente,</w:t>
      </w:r>
    </w:p>
    <w:p>
      <w:pPr>
        <w:pStyle w:val="Normal"/>
        <w:widowControl/>
        <w:suppressAutoHyphens w:val="true"/>
        <w:overflowPunct w:val="false"/>
        <w:bidi w:val="0"/>
        <w:spacing w:lineRule="auto" w:line="360" w:before="0" w:after="0"/>
        <w:ind w:left="113" w:right="454" w:hanging="0"/>
        <w:jc w:val="left"/>
        <w:rPr>
          <w:sz w:val="20"/>
          <w:szCs w:val="20"/>
        </w:rPr>
      </w:pPr>
      <w:r>
        <w:rPr>
          <w:sz w:val="20"/>
          <w:szCs w:val="20"/>
        </w:rPr>
      </w:r>
    </w:p>
    <w:p>
      <w:pPr>
        <w:pStyle w:val="Normal"/>
        <w:widowControl/>
        <w:suppressAutoHyphens w:val="true"/>
        <w:overflowPunct w:val="false"/>
        <w:bidi w:val="0"/>
        <w:spacing w:lineRule="auto" w:line="360" w:before="0" w:after="0"/>
        <w:ind w:left="113" w:right="454" w:hanging="0"/>
        <w:jc w:val="left"/>
        <w:rPr>
          <w:sz w:val="20"/>
          <w:szCs w:val="20"/>
        </w:rPr>
      </w:pPr>
      <w:r>
        <w:rPr>
          <w:sz w:val="20"/>
          <w:szCs w:val="20"/>
        </w:rPr>
      </w:r>
    </w:p>
    <w:p>
      <w:pPr>
        <w:pStyle w:val="Normal"/>
        <w:widowControl/>
        <w:suppressAutoHyphens w:val="true"/>
        <w:overflowPunct w:val="false"/>
        <w:bidi w:val="0"/>
        <w:spacing w:lineRule="auto" w:line="360" w:before="0" w:after="0"/>
        <w:ind w:left="113" w:right="454" w:hanging="0"/>
        <w:jc w:val="center"/>
        <w:rPr>
          <w:rFonts w:ascii="Century Gothic" w:hAnsi="Century Gothic" w:eastAsia="Times New Romin;Times New Roman" w:cs="Times New Roman"/>
          <w:color w:val="auto"/>
          <w:kern w:val="0"/>
          <w:sz w:val="21"/>
          <w:szCs w:val="21"/>
          <w:lang w:val="pt-BR" w:eastAsia="zh-CN" w:bidi="ar-SA"/>
        </w:rPr>
      </w:pPr>
      <w:r>
        <w:rPr>
          <w:rFonts w:eastAsia="Times New Romin;Times New Roman" w:cs="Times New Roman" w:ascii="Century Gothic" w:hAnsi="Century Gothic"/>
          <w:color w:val="auto"/>
          <w:kern w:val="0"/>
          <w:sz w:val="21"/>
          <w:szCs w:val="21"/>
          <w:lang w:val="pt-BR" w:eastAsia="zh-CN" w:bidi="ar-SA"/>
        </w:rPr>
      </w:r>
    </w:p>
    <w:p>
      <w:pPr>
        <w:pStyle w:val="Normal"/>
        <w:widowControl/>
        <w:suppressAutoHyphens w:val="true"/>
        <w:overflowPunct w:val="false"/>
        <w:bidi w:val="0"/>
        <w:spacing w:lineRule="auto" w:line="360" w:before="0" w:after="0"/>
        <w:ind w:left="113" w:right="454" w:hanging="0"/>
        <w:jc w:val="center"/>
        <w:rPr>
          <w:rFonts w:ascii="Century Gothic" w:hAnsi="Century Gothic" w:eastAsia="Times New Romin;Times New Roman" w:cs="Times New Roman"/>
          <w:color w:val="auto"/>
          <w:kern w:val="0"/>
          <w:sz w:val="21"/>
          <w:szCs w:val="21"/>
          <w:lang w:val="pt-BR" w:eastAsia="zh-CN" w:bidi="ar-SA"/>
        </w:rPr>
      </w:pPr>
      <w:r>
        <w:rPr>
          <w:rFonts w:eastAsia="Times New Romin;Times New Roman" w:cs="Times New Roman" w:ascii="Century Gothic" w:hAnsi="Century Gothic"/>
          <w:color w:val="auto"/>
          <w:kern w:val="0"/>
          <w:sz w:val="21"/>
          <w:szCs w:val="21"/>
          <w:lang w:val="pt-BR" w:eastAsia="zh-CN" w:bidi="ar-SA"/>
        </w:rPr>
      </w:r>
    </w:p>
    <w:p>
      <w:pPr>
        <w:pStyle w:val="Normal"/>
        <w:widowControl/>
        <w:suppressAutoHyphens w:val="true"/>
        <w:overflowPunct w:val="false"/>
        <w:bidi w:val="0"/>
        <w:spacing w:lineRule="auto" w:line="360" w:before="0" w:after="0"/>
        <w:ind w:left="113" w:right="454" w:hanging="0"/>
        <w:jc w:val="center"/>
        <w:rPr>
          <w:rFonts w:ascii="Century Gothic" w:hAnsi="Century Gothic" w:eastAsia="Times New Romin;Times New Roman" w:cs="Times New Roman"/>
          <w:color w:val="auto"/>
          <w:kern w:val="0"/>
          <w:sz w:val="21"/>
          <w:szCs w:val="21"/>
          <w:lang w:val="pt-BR" w:eastAsia="zh-CN" w:bidi="ar-SA"/>
        </w:rPr>
      </w:pPr>
      <w:r>
        <w:rPr>
          <w:rFonts w:eastAsia="Times New Romin;Times New Roman" w:cs="Times New Roman" w:ascii="Century Gothic" w:hAnsi="Century Gothic"/>
          <w:color w:val="auto"/>
          <w:kern w:val="0"/>
          <w:sz w:val="21"/>
          <w:szCs w:val="21"/>
          <w:lang w:val="pt-BR" w:eastAsia="zh-CN" w:bidi="ar-SA"/>
        </w:rPr>
      </w:r>
    </w:p>
    <w:p>
      <w:pPr>
        <w:pStyle w:val="Normal"/>
        <w:widowControl/>
        <w:suppressAutoHyphens w:val="true"/>
        <w:overflowPunct w:val="false"/>
        <w:bidi w:val="0"/>
        <w:spacing w:lineRule="auto" w:line="360" w:before="0" w:after="0"/>
        <w:ind w:left="113" w:right="454" w:hanging="0"/>
        <w:jc w:val="center"/>
        <w:rPr>
          <w:rFonts w:ascii="Century Gothic" w:hAnsi="Century Gothic" w:eastAsia="Times New Romin;Times New Roman" w:cs="Times New Roman"/>
          <w:color w:val="auto"/>
          <w:kern w:val="0"/>
          <w:sz w:val="21"/>
          <w:szCs w:val="21"/>
          <w:lang w:val="pt-BR" w:eastAsia="zh-CN" w:bidi="ar-SA"/>
        </w:rPr>
      </w:pPr>
      <w:r>
        <w:rPr>
          <w:rFonts w:eastAsia="Times New Romin;Times New Roman" w:cs="Times New Roman" w:ascii="Century Gothic" w:hAnsi="Century Gothic"/>
          <w:color w:val="auto"/>
          <w:kern w:val="0"/>
          <w:sz w:val="21"/>
          <w:szCs w:val="21"/>
          <w:lang w:val="pt-BR" w:eastAsia="zh-CN" w:bidi="ar-SA"/>
        </w:rPr>
      </w:r>
    </w:p>
    <w:p>
      <w:pPr>
        <w:pStyle w:val="Normal"/>
        <w:widowControl/>
        <w:suppressAutoHyphens w:val="true"/>
        <w:bidi w:val="0"/>
        <w:spacing w:lineRule="auto" w:line="276" w:before="0" w:after="0"/>
        <w:ind w:left="113" w:right="397" w:hanging="0"/>
        <w:jc w:val="center"/>
        <w:rPr>
          <w:sz w:val="20"/>
          <w:szCs w:val="20"/>
        </w:rPr>
      </w:pPr>
      <w:r>
        <w:rPr>
          <w:rFonts w:eastAsia="Times New Roman" w:ascii="Century Gothic" w:hAnsi="Century Gothic"/>
          <w:b/>
          <w:shadow/>
          <w:sz w:val="20"/>
          <w:szCs w:val="20"/>
        </w:rPr>
        <w:t>CARLOS ALBERTO PEREIRA JÚNIOR</w:t>
      </w:r>
    </w:p>
    <w:p>
      <w:pPr>
        <w:pStyle w:val="Normal"/>
        <w:widowControl/>
        <w:suppressAutoHyphens w:val="true"/>
        <w:overflowPunct w:val="false"/>
        <w:bidi w:val="0"/>
        <w:spacing w:lineRule="auto" w:line="276" w:before="0" w:after="0"/>
        <w:ind w:left="113" w:right="397" w:hanging="0"/>
        <w:jc w:val="center"/>
        <w:rPr/>
      </w:pPr>
      <w:r>
        <w:rPr>
          <w:rFonts w:eastAsia="Times New Roman" w:ascii="Century Gothic" w:hAnsi="Century Gothic"/>
          <w:i/>
          <w:sz w:val="20"/>
          <w:szCs w:val="20"/>
        </w:rPr>
        <w:t>Secretário de Educação, Cultura, Esporte e Lazer</w:t>
      </w:r>
    </w:p>
    <w:p>
      <w:pPr>
        <w:pStyle w:val="Normal"/>
        <w:widowControl/>
        <w:suppressAutoHyphens w:val="true"/>
        <w:overflowPunct w:val="false"/>
        <w:bidi w:val="0"/>
        <w:spacing w:lineRule="auto" w:line="276" w:before="0" w:after="0"/>
        <w:ind w:left="113" w:right="397" w:hanging="0"/>
        <w:jc w:val="center"/>
        <w:rPr/>
      </w:pPr>
      <w:r>
        <w:rPr>
          <w:rStyle w:val="Fontepargpadro"/>
          <w:rFonts w:eastAsia="Times New Roman" w:cs="Times New Roman" w:ascii="Century Gothic" w:hAnsi="Century Gothic"/>
          <w:b/>
          <w:bCs/>
          <w:shadow/>
          <w:color w:val="000000"/>
          <w:kern w:val="0"/>
          <w:sz w:val="20"/>
          <w:szCs w:val="20"/>
          <w:shd w:fill="auto" w:val="clear"/>
          <w:lang w:val="pt-BR" w:eastAsia="zh-CN" w:bidi="ar-SA"/>
        </w:rPr>
        <w:t>PORTARIA 37.581/2025</w:t>
      </w:r>
    </w:p>
    <w:p>
      <w:pPr>
        <w:pStyle w:val="Normal"/>
        <w:widowControl/>
        <w:suppressAutoHyphens w:val="true"/>
        <w:overflowPunct w:val="false"/>
        <w:bidi w:val="0"/>
        <w:spacing w:lineRule="auto" w:line="276" w:before="0" w:after="0"/>
        <w:ind w:left="113" w:right="397" w:hanging="0"/>
        <w:jc w:val="center"/>
        <w:rPr>
          <w:rStyle w:val="Fontepargpadro"/>
          <w:rFonts w:ascii="Century Gothic" w:hAnsi="Century Gothic" w:eastAsia="Times New Roman" w:cs="Times New Roman"/>
          <w:b/>
          <w:b/>
          <w:bCs/>
          <w:shadow/>
          <w:color w:val="000000"/>
          <w:kern w:val="0"/>
          <w:sz w:val="20"/>
          <w:szCs w:val="20"/>
          <w:shd w:fill="auto" w:val="clear"/>
          <w:lang w:val="pt-BR" w:eastAsia="zh-CN" w:bidi="ar-SA"/>
        </w:rPr>
      </w:pPr>
      <w:r>
        <w:rPr>
          <w:rFonts w:eastAsia="Times New Roman" w:cs="Times New Roman" w:ascii="Century Gothic" w:hAnsi="Century Gothic"/>
          <w:b/>
          <w:bCs/>
          <w:shadow/>
          <w:color w:val="000000"/>
          <w:kern w:val="0"/>
          <w:sz w:val="20"/>
          <w:szCs w:val="20"/>
          <w:shd w:fill="auto" w:val="clear"/>
          <w:lang w:val="pt-BR" w:eastAsia="zh-CN" w:bidi="ar-SA"/>
        </w:rPr>
      </w:r>
    </w:p>
    <w:p>
      <w:pPr>
        <w:pStyle w:val="Normal"/>
        <w:widowControl/>
        <w:suppressAutoHyphens w:val="true"/>
        <w:overflowPunct w:val="false"/>
        <w:bidi w:val="0"/>
        <w:spacing w:lineRule="auto" w:line="276" w:before="0" w:after="0"/>
        <w:ind w:left="113" w:right="397" w:hanging="0"/>
        <w:jc w:val="center"/>
        <w:rPr>
          <w:rStyle w:val="Fontepargpadro"/>
          <w:rFonts w:ascii="Century Gothic" w:hAnsi="Century Gothic" w:eastAsia="Times New Roman" w:cs="Times New Roman"/>
          <w:b/>
          <w:b/>
          <w:bCs/>
          <w:shadow/>
          <w:color w:val="000000"/>
          <w:kern w:val="0"/>
          <w:sz w:val="20"/>
          <w:szCs w:val="20"/>
          <w:shd w:fill="auto" w:val="clear"/>
          <w:lang w:val="pt-BR" w:eastAsia="zh-CN" w:bidi="ar-SA"/>
        </w:rPr>
      </w:pPr>
      <w:r>
        <w:rPr>
          <w:rFonts w:eastAsia="Times New Roman" w:cs="Times New Roman" w:ascii="Century Gothic" w:hAnsi="Century Gothic"/>
          <w:b/>
          <w:bCs/>
          <w:shadow/>
          <w:color w:val="000000"/>
          <w:kern w:val="0"/>
          <w:sz w:val="20"/>
          <w:szCs w:val="20"/>
          <w:shd w:fill="auto" w:val="clear"/>
          <w:lang w:val="pt-BR" w:eastAsia="zh-CN" w:bidi="ar-SA"/>
        </w:rPr>
      </w:r>
    </w:p>
    <w:p>
      <w:pPr>
        <w:pStyle w:val="Normal"/>
        <w:widowControl/>
        <w:suppressAutoHyphens w:val="true"/>
        <w:overflowPunct w:val="false"/>
        <w:bidi w:val="0"/>
        <w:spacing w:lineRule="auto" w:line="276" w:before="0" w:after="0"/>
        <w:ind w:left="113" w:right="397" w:hanging="0"/>
        <w:jc w:val="center"/>
        <w:rPr>
          <w:rStyle w:val="Fontepargpadro"/>
          <w:rFonts w:ascii="Century Gothic" w:hAnsi="Century Gothic" w:eastAsia="Times New Roman" w:cs="Times New Roman"/>
          <w:b/>
          <w:b/>
          <w:bCs/>
          <w:shadow/>
          <w:color w:val="000000"/>
          <w:kern w:val="0"/>
          <w:sz w:val="20"/>
          <w:szCs w:val="20"/>
          <w:shd w:fill="auto" w:val="clear"/>
          <w:lang w:val="pt-BR" w:eastAsia="zh-CN" w:bidi="ar-SA"/>
        </w:rPr>
      </w:pPr>
      <w:r>
        <w:rPr>
          <w:rFonts w:eastAsia="Times New Roman" w:cs="Times New Roman" w:ascii="Century Gothic" w:hAnsi="Century Gothic"/>
          <w:b/>
          <w:bCs/>
          <w:shadow/>
          <w:color w:val="000000"/>
          <w:kern w:val="0"/>
          <w:sz w:val="20"/>
          <w:szCs w:val="20"/>
          <w:shd w:fill="auto" w:val="clear"/>
          <w:lang w:val="pt-BR" w:eastAsia="zh-CN" w:bidi="ar-SA"/>
        </w:rPr>
      </w:r>
    </w:p>
    <w:p>
      <w:pPr>
        <w:pStyle w:val="Normal"/>
        <w:widowControl/>
        <w:suppressAutoHyphens w:val="true"/>
        <w:overflowPunct w:val="false"/>
        <w:bidi w:val="0"/>
        <w:spacing w:lineRule="auto" w:line="276" w:before="0" w:after="0"/>
        <w:ind w:left="113" w:right="397" w:hanging="0"/>
        <w:jc w:val="center"/>
        <w:rPr>
          <w:rStyle w:val="Fontepargpadro"/>
          <w:rFonts w:ascii="Century Gothic" w:hAnsi="Century Gothic" w:eastAsia="Times New Roman" w:cs="Times New Roman"/>
          <w:b/>
          <w:b/>
          <w:bCs/>
          <w:shadow/>
          <w:color w:val="000000"/>
          <w:kern w:val="0"/>
          <w:sz w:val="20"/>
          <w:szCs w:val="20"/>
          <w:shd w:fill="auto" w:val="clear"/>
          <w:lang w:val="pt-BR" w:eastAsia="zh-CN" w:bidi="ar-SA"/>
        </w:rPr>
      </w:pPr>
      <w:r>
        <w:rPr>
          <w:rFonts w:eastAsia="Times New Roman" w:cs="Times New Roman" w:ascii="Century Gothic" w:hAnsi="Century Gothic"/>
          <w:b/>
          <w:bCs/>
          <w:shadow/>
          <w:color w:val="000000"/>
          <w:kern w:val="0"/>
          <w:sz w:val="20"/>
          <w:szCs w:val="20"/>
          <w:shd w:fill="auto" w:val="clear"/>
          <w:lang w:val="pt-BR" w:eastAsia="zh-CN" w:bidi="ar-SA"/>
        </w:rPr>
      </w:r>
    </w:p>
    <w:p>
      <w:pPr>
        <w:pStyle w:val="Normal"/>
        <w:widowControl/>
        <w:suppressAutoHyphens w:val="true"/>
        <w:overflowPunct w:val="false"/>
        <w:bidi w:val="0"/>
        <w:spacing w:lineRule="auto" w:line="276" w:before="0" w:after="0"/>
        <w:ind w:left="113" w:right="397" w:hanging="0"/>
        <w:jc w:val="center"/>
        <w:rPr>
          <w:rStyle w:val="Fontepargpadro"/>
          <w:rFonts w:ascii="Century Gothic" w:hAnsi="Century Gothic" w:eastAsia="Times New Roman" w:cs="Times New Roman"/>
          <w:b/>
          <w:b/>
          <w:bCs/>
          <w:shadow/>
          <w:color w:val="000000"/>
          <w:kern w:val="0"/>
          <w:sz w:val="20"/>
          <w:szCs w:val="20"/>
          <w:shd w:fill="auto" w:val="clear"/>
          <w:lang w:val="pt-BR" w:eastAsia="zh-CN" w:bidi="ar-SA"/>
        </w:rPr>
      </w:pPr>
      <w:r>
        <w:rPr>
          <w:rFonts w:eastAsia="Times New Roman" w:cs="Times New Roman" w:ascii="Century Gothic" w:hAnsi="Century Gothic"/>
          <w:b/>
          <w:bCs/>
          <w:shadow/>
          <w:color w:val="000000"/>
          <w:kern w:val="0"/>
          <w:sz w:val="20"/>
          <w:szCs w:val="20"/>
          <w:shd w:fill="auto" w:val="clear"/>
          <w:lang w:val="pt-BR" w:eastAsia="zh-CN" w:bidi="ar-SA"/>
        </w:rPr>
      </w:r>
    </w:p>
    <w:p>
      <w:pPr>
        <w:pStyle w:val="Normal"/>
        <w:widowControl/>
        <w:suppressAutoHyphens w:val="true"/>
        <w:overflowPunct w:val="false"/>
        <w:bidi w:val="0"/>
        <w:spacing w:lineRule="auto" w:line="276" w:before="0" w:after="0"/>
        <w:ind w:left="113" w:right="397" w:hanging="0"/>
        <w:jc w:val="center"/>
        <w:rPr>
          <w:rFonts w:ascii="Century Gothic" w:hAnsi="Century Gothic"/>
        </w:rPr>
      </w:pPr>
      <w:r>
        <w:rPr>
          <w:rFonts w:ascii="Century Gothic" w:hAnsi="Century Gothic"/>
        </w:rPr>
      </w:r>
    </w:p>
    <w:tbl>
      <w:tblPr>
        <w:tblW w:w="5000" w:type="pct"/>
        <w:jc w:val="left"/>
        <w:tblInd w:w="55" w:type="dxa"/>
        <w:tblLayout w:type="fixed"/>
        <w:tblCellMar>
          <w:top w:w="55" w:type="dxa"/>
          <w:left w:w="55" w:type="dxa"/>
          <w:bottom w:w="55" w:type="dxa"/>
          <w:right w:w="55" w:type="dxa"/>
        </w:tblCellMar>
      </w:tblPr>
      <w:tblGrid>
        <w:gridCol w:w="10062"/>
      </w:tblGrid>
      <w:tr>
        <w:trPr/>
        <w:tc>
          <w:tcPr>
            <w:tcW w:w="10062" w:type="dxa"/>
            <w:tcBorders>
              <w:top w:val="single" w:sz="4" w:space="0" w:color="000000"/>
              <w:left w:val="single" w:sz="4" w:space="0" w:color="000000"/>
              <w:bottom w:val="single" w:sz="4" w:space="0" w:color="000000"/>
              <w:right w:val="single" w:sz="4" w:space="0" w:color="000000"/>
            </w:tcBorders>
            <w:shd w:fill="DDDDDD" w:val="clear"/>
          </w:tcPr>
          <w:p>
            <w:pPr>
              <w:pStyle w:val="Normal"/>
              <w:widowControl w:val="false"/>
              <w:spacing w:lineRule="auto" w:line="276" w:before="0" w:after="0"/>
              <w:jc w:val="center"/>
              <w:rPr>
                <w:rFonts w:ascii="Century Gothic" w:hAnsi="Century Gothic"/>
                <w:b/>
                <w:b/>
                <w:bCs/>
                <w:sz w:val="26"/>
                <w:szCs w:val="26"/>
              </w:rPr>
            </w:pPr>
            <w:r>
              <w:rPr>
                <w:rFonts w:ascii="Century Gothic" w:hAnsi="Century Gothic"/>
                <w:b/>
                <w:bCs/>
                <w:sz w:val="26"/>
                <w:szCs w:val="26"/>
              </w:rPr>
              <w:t>JUSTIFICATIVA PARA INCLUSÃO DE DEMANDA DO PAC 2025</w:t>
            </w:r>
          </w:p>
        </w:tc>
      </w:tr>
    </w:tbl>
    <w:p>
      <w:pPr>
        <w:pStyle w:val="Corpodotexto"/>
        <w:jc w:val="both"/>
        <w:rPr/>
      </w:pPr>
      <w:r>
        <w:rPr>
          <w:rFonts w:eastAsia="Times New Roman" w:cs="Times New Roman" w:ascii="Century Gothic" w:hAnsi="Century Gothic"/>
          <w:color w:val="auto"/>
          <w:kern w:val="0"/>
          <w:sz w:val="20"/>
          <w:szCs w:val="20"/>
          <w:lang w:val="pt-BR" w:eastAsia="pt-BR" w:bidi="ar-SA"/>
        </w:rPr>
        <w:t xml:space="preserve">A inclusão da demanda refere-se à </w:t>
      </w:r>
      <w:r>
        <w:rPr>
          <w:rStyle w:val="Nfaseforte"/>
          <w:rFonts w:eastAsia="Times New Roman" w:cs="Times New Roman" w:ascii="Century Gothic" w:hAnsi="Century Gothic"/>
          <w:color w:val="auto"/>
          <w:kern w:val="0"/>
          <w:sz w:val="20"/>
          <w:szCs w:val="20"/>
          <w:lang w:val="pt-BR" w:eastAsia="pt-BR" w:bidi="ar-SA"/>
        </w:rPr>
        <w:t>construção de uma Escola com 13 Salas de Aula – Padrão FNDE</w:t>
      </w:r>
      <w:r>
        <w:rPr>
          <w:rFonts w:eastAsia="Times New Roman" w:cs="Times New Roman" w:ascii="Century Gothic" w:hAnsi="Century Gothic"/>
          <w:color w:val="auto"/>
          <w:kern w:val="0"/>
          <w:sz w:val="20"/>
          <w:szCs w:val="20"/>
          <w:lang w:val="pt-BR" w:eastAsia="pt-BR" w:bidi="ar-SA"/>
        </w:rPr>
        <w:t>, conforme projeto-padrão disponibilizado pelo Fundo Nacional de Desenvolvimento da Educação (FNDE), destinada ao atendimento da Educação Básica, com infraestrutura adequada, segura e funcional, em conformidade com as normas técnicas, legislações vigentes e diretrizes pedagógicas nacionais.</w:t>
      </w:r>
    </w:p>
    <w:p>
      <w:pPr>
        <w:pStyle w:val="Corpodotexto"/>
        <w:jc w:val="both"/>
        <w:rPr/>
      </w:pPr>
      <w:r>
        <w:rPr>
          <w:rFonts w:eastAsia="Times New Roman" w:cs="Times New Roman" w:ascii="Century Gothic" w:hAnsi="Century Gothic"/>
          <w:color w:val="auto"/>
          <w:kern w:val="0"/>
          <w:sz w:val="20"/>
          <w:szCs w:val="20"/>
          <w:lang w:val="pt-BR" w:eastAsia="pt-BR" w:bidi="ar-SA"/>
        </w:rPr>
        <w:t xml:space="preserve">O presente </w:t>
      </w:r>
      <w:r>
        <w:rPr>
          <w:rStyle w:val="Nfaseforte"/>
          <w:rFonts w:eastAsia="Times New Roman" w:cs="Times New Roman" w:ascii="Century Gothic" w:hAnsi="Century Gothic"/>
          <w:color w:val="auto"/>
          <w:kern w:val="0"/>
          <w:sz w:val="20"/>
          <w:szCs w:val="20"/>
          <w:lang w:val="pt-BR" w:eastAsia="pt-BR" w:bidi="ar-SA"/>
        </w:rPr>
        <w:t>Memorial Descritivo</w:t>
      </w:r>
      <w:r>
        <w:rPr>
          <w:rFonts w:eastAsia="Times New Roman" w:cs="Times New Roman" w:ascii="Century Gothic" w:hAnsi="Century Gothic"/>
          <w:color w:val="auto"/>
          <w:kern w:val="0"/>
          <w:sz w:val="20"/>
          <w:szCs w:val="20"/>
          <w:lang w:val="pt-BR" w:eastAsia="pt-BR" w:bidi="ar-SA"/>
        </w:rPr>
        <w:t xml:space="preserve"> constitui parte integrante do </w:t>
      </w:r>
      <w:r>
        <w:rPr>
          <w:rStyle w:val="Nfaseforte"/>
          <w:rFonts w:eastAsia="Times New Roman" w:cs="Times New Roman" w:ascii="Century Gothic" w:hAnsi="Century Gothic"/>
          <w:color w:val="auto"/>
          <w:kern w:val="0"/>
          <w:sz w:val="20"/>
          <w:szCs w:val="20"/>
          <w:lang w:val="pt-BR" w:eastAsia="pt-BR" w:bidi="ar-SA"/>
        </w:rPr>
        <w:t>Projeto Básico da Construção da Escola 13 Salas – Térreo (Padrão FNDE)</w:t>
      </w:r>
      <w:r>
        <w:rPr>
          <w:rFonts w:eastAsia="Times New Roman" w:cs="Times New Roman" w:ascii="Century Gothic" w:hAnsi="Century Gothic"/>
          <w:color w:val="auto"/>
          <w:kern w:val="0"/>
          <w:sz w:val="20"/>
          <w:szCs w:val="20"/>
          <w:lang w:val="pt-BR" w:eastAsia="pt-BR" w:bidi="ar-SA"/>
        </w:rPr>
        <w:t>, tendo como objetivo principal caracterizar os materiais, componentes e sistemas construtivos adotados, bem como descrever a sistemática executiva a ser utilizada. Este documento subsidia a elaboração do Projeto Executivo, o qual deverá ser desenvolvido pelo ente federado responsável, considerando as particularidades do local de implantação e as exigências legais aplicáveis.</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Ressalta-se que o Projeto Básico compreende exclusivamente a porção padronizada do projeto fornecido pelo FNDE, a qual possui nível de detalhamento superior ao anteprojeto. Para que o projeto seja considerado completo, será necessária sua complementação por meio do projeto de implantação no terreno, bem como por eventuais adequações ao projeto-padrão, a fim de atender às normas urbanísticas, ambientais, sanitárias e de acessibilidade locais, devendo tais ajustes ser elaborados por equipe técnica legalmente habilitada.</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 construção da unidade escolar foi concebida com o objetivo de garantir ambientes educacionais adequados, seguros e acessíveis, proporcionando conforto térmico, acústico e visual, além de eficiência nas instalações prediais. A edificação atenderá aos princípios da acessibilidade universal, segurança estrutural e funcionalidade dos espaços, em consonância com a Base Nacional Comum Curricular (BNCC) e demais normativos aplicáveis à educação.</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O memorial contempla a descrição dos elementos constituintes dos seguintes projetos:</w:t>
      </w:r>
    </w:p>
    <w:p>
      <w:pPr>
        <w:pStyle w:val="Corpodotexto"/>
        <w:numPr>
          <w:ilvl w:val="0"/>
          <w:numId w:val="1"/>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Arquitetônico, abrangendo organização dos espaços, fluxos, acessos e acessibilidade;</w:t>
      </w:r>
    </w:p>
    <w:p>
      <w:pPr>
        <w:pStyle w:val="Corpodotexto"/>
        <w:numPr>
          <w:ilvl w:val="0"/>
          <w:numId w:val="1"/>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Estrutural, com especificação de fundações, estruturas e elementos construtivos;</w:t>
      </w:r>
    </w:p>
    <w:p>
      <w:pPr>
        <w:pStyle w:val="Corpodotexto"/>
        <w:numPr>
          <w:ilvl w:val="0"/>
          <w:numId w:val="1"/>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Hidrossanitário, incluindo sistemas de abastecimento de água, esgotamento sanitário e drenagem;</w:t>
      </w:r>
    </w:p>
    <w:p>
      <w:pPr>
        <w:pStyle w:val="Corpodotexto"/>
        <w:numPr>
          <w:ilvl w:val="0"/>
          <w:numId w:val="1"/>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Elétrico, contemplando iluminação, tomadas, quadros de distribuição e sistemas de proteção.</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As marcas e fabricantes de materiais eventualmente mencionados têm caráter meramente referencial, não constituindo direcionamento ou restrição à competitividade, conforme diretrizes do FNDE, que não indica marcas específicas nem mantém cadastro de fornecedores.</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 xml:space="preserve">Este Memorial Descritivo estabelece, portanto, as diretrizes técnicas necessárias para a correta </w:t>
      </w:r>
      <w:r>
        <w:rPr>
          <w:rStyle w:val="Nfaseforte"/>
          <w:rFonts w:eastAsia="Times New Roman" w:cs="Times New Roman" w:ascii="Century Gothic" w:hAnsi="Century Gothic"/>
          <w:color w:val="auto"/>
          <w:kern w:val="0"/>
          <w:sz w:val="20"/>
          <w:szCs w:val="20"/>
          <w:lang w:val="pt-BR" w:eastAsia="pt-BR" w:bidi="ar-SA"/>
        </w:rPr>
        <w:t>execução da obra de construção da Escola 13 Salas – Padrão FNDE</w:t>
      </w:r>
      <w:r>
        <w:rPr>
          <w:rFonts w:eastAsia="Times New Roman" w:cs="Times New Roman" w:ascii="Century Gothic" w:hAnsi="Century Gothic"/>
          <w:color w:val="auto"/>
          <w:kern w:val="0"/>
          <w:sz w:val="20"/>
          <w:szCs w:val="20"/>
          <w:lang w:val="pt-BR" w:eastAsia="pt-BR" w:bidi="ar-SA"/>
        </w:rPr>
        <w:t>, assegurando qualidade construtiva, funcionalidade dos ambientes e atendimento pleno às normas técnicas, legais e educacionais vigentes.</w:t>
      </w:r>
    </w:p>
    <w:tbl>
      <w:tblPr>
        <w:tblW w:w="5000" w:type="pct"/>
        <w:jc w:val="left"/>
        <w:tblInd w:w="55" w:type="dxa"/>
        <w:tblLayout w:type="fixed"/>
        <w:tblCellMar>
          <w:top w:w="55" w:type="dxa"/>
          <w:left w:w="55" w:type="dxa"/>
          <w:bottom w:w="55" w:type="dxa"/>
          <w:right w:w="55" w:type="dxa"/>
        </w:tblCellMar>
      </w:tblPr>
      <w:tblGrid>
        <w:gridCol w:w="10062"/>
      </w:tblGrid>
      <w:tr>
        <w:trPr/>
        <w:tc>
          <w:tcPr>
            <w:tcW w:w="10062" w:type="dxa"/>
            <w:tcBorders>
              <w:top w:val="single" w:sz="4" w:space="0" w:color="000000"/>
              <w:left w:val="single" w:sz="4" w:space="0" w:color="000000"/>
              <w:bottom w:val="single" w:sz="4" w:space="0" w:color="000000"/>
              <w:right w:val="single" w:sz="4" w:space="0" w:color="000000"/>
            </w:tcBorders>
            <w:shd w:fill="DDDDDD" w:val="clear"/>
          </w:tcPr>
          <w:p>
            <w:pPr>
              <w:pStyle w:val="Normal"/>
              <w:widowControl w:val="false"/>
              <w:spacing w:lineRule="auto" w:line="276" w:before="0" w:after="0"/>
              <w:jc w:val="center"/>
              <w:rPr>
                <w:rFonts w:ascii="Century Gothic" w:hAnsi="Century Gothic"/>
                <w:b/>
                <w:b/>
                <w:bCs/>
                <w:sz w:val="26"/>
                <w:szCs w:val="26"/>
              </w:rPr>
            </w:pPr>
            <w:r>
              <w:rPr>
                <w:rFonts w:ascii="Century Gothic" w:hAnsi="Century Gothic"/>
                <w:b/>
                <w:bCs/>
                <w:sz w:val="26"/>
                <w:szCs w:val="26"/>
              </w:rPr>
              <w:t>DESCRIÇÃO DA NECESSIDADE DA REFORMA</w:t>
            </w:r>
          </w:p>
        </w:tc>
      </w:tr>
    </w:tbl>
    <w:p>
      <w:pPr>
        <w:pStyle w:val="Corpodotexto"/>
        <w:jc w:val="both"/>
        <w:rPr/>
      </w:pPr>
      <w:r>
        <w:rPr>
          <w:rFonts w:eastAsia="Times New Roman" w:cs="Times New Roman" w:ascii="Century Gothic" w:hAnsi="Century Gothic"/>
          <w:color w:val="auto"/>
          <w:kern w:val="0"/>
          <w:sz w:val="20"/>
          <w:szCs w:val="20"/>
          <w:lang w:val="pt-BR" w:eastAsia="pt-BR" w:bidi="ar-SA"/>
        </w:rPr>
        <w:t xml:space="preserve">A presente demanda destina-se à </w:t>
      </w:r>
      <w:r>
        <w:rPr>
          <w:rStyle w:val="Nfaseforte"/>
          <w:rFonts w:eastAsia="Times New Roman" w:cs="Times New Roman" w:ascii="Century Gothic" w:hAnsi="Century Gothic"/>
          <w:color w:val="auto"/>
          <w:kern w:val="0"/>
          <w:sz w:val="20"/>
          <w:szCs w:val="20"/>
          <w:lang w:val="pt-BR" w:eastAsia="pt-BR" w:bidi="ar-SA"/>
        </w:rPr>
        <w:t>construção de uma Unidade Escolar de Ensino Fundamental, conforme Projeto Padrão Escola 13 Salas – Térreo (FNDE)</w:t>
      </w:r>
      <w:r>
        <w:rPr>
          <w:rFonts w:eastAsia="Times New Roman" w:cs="Times New Roman" w:ascii="Century Gothic" w:hAnsi="Century Gothic"/>
          <w:color w:val="auto"/>
          <w:kern w:val="0"/>
          <w:sz w:val="20"/>
          <w:szCs w:val="20"/>
          <w:lang w:val="pt-BR" w:eastAsia="pt-BR" w:bidi="ar-SA"/>
        </w:rPr>
        <w:t>, desenvolvida para integração ao Plano de Ações Articuladas – PAR, com o objetivo de ampliar e qualificar a oferta de vagas na rede pública de ensino, atendendo de forma adequada aos alunos do 1º ao 9º ano.</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 implantação desta unidade escolar justifica-se pela necessidade de disponibilizar infraestrutura educacional compatível com os parâmetros pedagógicos, de conforto ambiental, segurança e acessibilidade exigidos para o Ensino Fundamental. A construção de um novo equipamento público permitirá a oferta de ambientes planejados, seguros e organizados, favorecendo o desenvolvimento do processo educativo e a adoção de práticas pedagógicas alinhadas às diretrizes nacionais.</w:t>
      </w:r>
    </w:p>
    <w:p>
      <w:pPr>
        <w:pStyle w:val="Corpodotexto"/>
        <w:jc w:val="both"/>
        <w:rPr/>
      </w:pPr>
      <w:r>
        <w:rPr>
          <w:rFonts w:eastAsia="Times New Roman" w:cs="Times New Roman" w:ascii="Century Gothic" w:hAnsi="Century Gothic"/>
          <w:color w:val="auto"/>
          <w:kern w:val="0"/>
          <w:sz w:val="20"/>
          <w:szCs w:val="20"/>
          <w:lang w:val="pt-BR" w:eastAsia="pt-BR" w:bidi="ar-SA"/>
        </w:rPr>
        <w:t xml:space="preserve">O Projeto Padrão Escola 13 Salas – Térreo foi concebido para atender até </w:t>
      </w:r>
      <w:r>
        <w:rPr>
          <w:rStyle w:val="Nfaseforte"/>
          <w:rFonts w:eastAsia="Times New Roman" w:cs="Times New Roman" w:ascii="Century Gothic" w:hAnsi="Century Gothic"/>
          <w:color w:val="auto"/>
          <w:kern w:val="0"/>
          <w:sz w:val="20"/>
          <w:szCs w:val="20"/>
          <w:lang w:val="pt-BR" w:eastAsia="pt-BR" w:bidi="ar-SA"/>
        </w:rPr>
        <w:t>910 alunos em dois turnos</w:t>
      </w:r>
      <w:r>
        <w:rPr>
          <w:rFonts w:eastAsia="Times New Roman" w:cs="Times New Roman" w:ascii="Century Gothic" w:hAnsi="Century Gothic"/>
          <w:color w:val="auto"/>
          <w:kern w:val="0"/>
          <w:sz w:val="20"/>
          <w:szCs w:val="20"/>
          <w:lang w:val="pt-BR" w:eastAsia="pt-BR" w:bidi="ar-SA"/>
        </w:rPr>
        <w:t xml:space="preserve"> (matutino e vespertino) ou </w:t>
      </w:r>
      <w:r>
        <w:rPr>
          <w:rStyle w:val="Nfaseforte"/>
          <w:rFonts w:eastAsia="Times New Roman" w:cs="Times New Roman" w:ascii="Century Gothic" w:hAnsi="Century Gothic"/>
          <w:color w:val="auto"/>
          <w:kern w:val="0"/>
          <w:sz w:val="20"/>
          <w:szCs w:val="20"/>
          <w:lang w:val="pt-BR" w:eastAsia="pt-BR" w:bidi="ar-SA"/>
        </w:rPr>
        <w:t>455 alunos em período integral</w:t>
      </w:r>
      <w:r>
        <w:rPr>
          <w:rFonts w:eastAsia="Times New Roman" w:cs="Times New Roman" w:ascii="Century Gothic" w:hAnsi="Century Gothic"/>
          <w:color w:val="auto"/>
          <w:kern w:val="0"/>
          <w:sz w:val="20"/>
          <w:szCs w:val="20"/>
          <w:lang w:val="pt-BR" w:eastAsia="pt-BR" w:bidi="ar-SA"/>
        </w:rPr>
        <w:t>, observando critérios técnicos que garantem ambientes saudáveis, funcionais e adequados às diferentes faixas etárias. As treze salas de aula possuem dimensões padronizadas, com capacidade para até 35 alunos por turma, respeitando, quando do atendimento aos anos iniciais do Ensino Fundamental, a recomendação de redução do número de alunos para assegurar melhores condições de aprendizagem e acompanhamento pedagógico.</w:t>
      </w:r>
    </w:p>
    <w:p>
      <w:pPr>
        <w:pStyle w:val="Corpodotexto"/>
        <w:jc w:val="both"/>
        <w:rPr/>
      </w:pPr>
      <w:r>
        <w:rPr>
          <w:rFonts w:eastAsia="Times New Roman" w:cs="Times New Roman" w:ascii="Century Gothic" w:hAnsi="Century Gothic"/>
          <w:color w:val="auto"/>
          <w:kern w:val="0"/>
          <w:sz w:val="20"/>
          <w:szCs w:val="20"/>
          <w:lang w:val="pt-BR" w:eastAsia="pt-BR" w:bidi="ar-SA"/>
        </w:rPr>
        <w:t xml:space="preserve">A edificação foi planejada considerando princípios de </w:t>
      </w:r>
      <w:r>
        <w:rPr>
          <w:rStyle w:val="Nfaseforte"/>
          <w:rFonts w:eastAsia="Times New Roman" w:cs="Times New Roman" w:ascii="Century Gothic" w:hAnsi="Century Gothic"/>
          <w:color w:val="auto"/>
          <w:kern w:val="0"/>
          <w:sz w:val="20"/>
          <w:szCs w:val="20"/>
          <w:lang w:val="pt-BR" w:eastAsia="pt-BR" w:bidi="ar-SA"/>
        </w:rPr>
        <w:t>acessibilidade universal</w:t>
      </w:r>
      <w:r>
        <w:rPr>
          <w:rFonts w:eastAsia="Times New Roman" w:cs="Times New Roman" w:ascii="Century Gothic" w:hAnsi="Century Gothic"/>
          <w:color w:val="auto"/>
          <w:kern w:val="0"/>
          <w:sz w:val="20"/>
          <w:szCs w:val="20"/>
          <w:lang w:val="pt-BR" w:eastAsia="pt-BR" w:bidi="ar-SA"/>
        </w:rPr>
        <w:t>, assegurando condições de circulação, uso autônomo dos espaços e inclusão de alunos com deficiência ou mobilidade reduzida, em conformidade com a legislação federal e estadual vigente. Dessa forma, a unidade escolar garantirá equidade no acesso aos serviços educacionais e promoverá um ambiente inclusivo e democrático.</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O partido arquitetônico adotado fundamenta-se nas necessidades de desenvolvimento físico, psicológico, intelectual e social dos estudantes, contemplando soluções arquitetônicas que integram ambientes internos e externos de forma harmoniosa. Foram consideradas as diversidades ambientais, climáticas, geográficas e socioculturais do território brasileiro, permitindo a adaptação do projeto às condições locais de implantação, sem prejuízo à funcionalidade e à qualidade dos espaços educacionais.</w:t>
      </w:r>
    </w:p>
    <w:p>
      <w:pPr>
        <w:pStyle w:val="Corpodotexto"/>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Nesse contexto, a construção da Escola 13 Salas – Padrão FNDE representa não apenas a ampliação da infraestrutura física da rede de ensino, mas uma ação estratégica de caráter pedagógico e social, essencial para garantir ensino de qualidade, inclusão, segurança e condições adequadas para o pleno desenvolvimento dos alunos do Ensino Fundamental.</w:t>
      </w:r>
    </w:p>
    <w:tbl>
      <w:tblPr>
        <w:tblW w:w="5000" w:type="pct"/>
        <w:jc w:val="left"/>
        <w:tblInd w:w="55" w:type="dxa"/>
        <w:tblLayout w:type="fixed"/>
        <w:tblCellMar>
          <w:top w:w="55" w:type="dxa"/>
          <w:left w:w="55" w:type="dxa"/>
          <w:bottom w:w="55" w:type="dxa"/>
          <w:right w:w="55" w:type="dxa"/>
        </w:tblCellMar>
      </w:tblPr>
      <w:tblGrid>
        <w:gridCol w:w="10062"/>
      </w:tblGrid>
      <w:tr>
        <w:trPr/>
        <w:tc>
          <w:tcPr>
            <w:tcW w:w="10062" w:type="dxa"/>
            <w:tcBorders>
              <w:top w:val="single" w:sz="4" w:space="0" w:color="000000"/>
              <w:left w:val="single" w:sz="4" w:space="0" w:color="000000"/>
              <w:bottom w:val="single" w:sz="4" w:space="0" w:color="000000"/>
              <w:right w:val="single" w:sz="4" w:space="0" w:color="000000"/>
            </w:tcBorders>
            <w:shd w:fill="DDDDDD" w:val="clear"/>
          </w:tcPr>
          <w:p>
            <w:pPr>
              <w:pStyle w:val="Normal"/>
              <w:widowControl w:val="false"/>
              <w:spacing w:lineRule="auto" w:line="276" w:before="0" w:after="0"/>
              <w:jc w:val="center"/>
              <w:rPr>
                <w:rFonts w:ascii="Century Gothic" w:hAnsi="Century Gothic"/>
                <w:b/>
                <w:b/>
                <w:bCs/>
                <w:sz w:val="26"/>
                <w:szCs w:val="26"/>
              </w:rPr>
            </w:pPr>
            <w:r>
              <w:rPr>
                <w:rFonts w:ascii="Century Gothic" w:hAnsi="Century Gothic"/>
                <w:b/>
                <w:bCs/>
                <w:sz w:val="26"/>
                <w:szCs w:val="26"/>
              </w:rPr>
              <w:t>RESULTADOS PRETENDIDOS</w:t>
            </w:r>
          </w:p>
        </w:tc>
      </w:tr>
    </w:tbl>
    <w:p>
      <w:pPr>
        <w:pStyle w:val="Corpodotexto"/>
        <w:jc w:val="both"/>
        <w:rPr/>
      </w:pPr>
      <w:r>
        <w:rPr>
          <w:rFonts w:eastAsia="Times New Roman" w:cs="Times New Roman" w:ascii="Century Gothic" w:hAnsi="Century Gothic"/>
          <w:color w:val="auto"/>
          <w:kern w:val="0"/>
          <w:sz w:val="20"/>
          <w:szCs w:val="20"/>
          <w:lang w:val="pt-BR" w:eastAsia="pt-BR" w:bidi="ar-SA"/>
        </w:rPr>
        <w:t xml:space="preserve">Com a </w:t>
      </w:r>
      <w:r>
        <w:rPr>
          <w:rStyle w:val="Nfaseforte"/>
          <w:rFonts w:eastAsia="Times New Roman" w:cs="Times New Roman" w:ascii="Century Gothic" w:hAnsi="Century Gothic"/>
          <w:color w:val="auto"/>
          <w:kern w:val="0"/>
          <w:sz w:val="20"/>
          <w:szCs w:val="20"/>
          <w:lang w:val="pt-BR" w:eastAsia="pt-BR" w:bidi="ar-SA"/>
        </w:rPr>
        <w:t>construção da Escola 13 Salas – Padrão FNDE</w:t>
      </w:r>
      <w:r>
        <w:rPr>
          <w:rFonts w:eastAsia="Times New Roman" w:cs="Times New Roman" w:ascii="Century Gothic" w:hAnsi="Century Gothic"/>
          <w:color w:val="auto"/>
          <w:kern w:val="0"/>
          <w:sz w:val="20"/>
          <w:szCs w:val="20"/>
          <w:lang w:val="pt-BR" w:eastAsia="pt-BR" w:bidi="ar-SA"/>
        </w:rPr>
        <w:t>, espera-se alcançar resultados significativos para a ampliação e qualificação da infraestrutura educacional destinada ao Ensino Fundamental, proporcionando melhores condições de ensino, aprendizagem e atendimento à comunidade escolar. Entre os principais resultados esperados, destacam-se:</w:t>
      </w:r>
    </w:p>
    <w:p>
      <w:pPr>
        <w:pStyle w:val="Corpodotexto"/>
        <w:numPr>
          <w:ilvl w:val="0"/>
          <w:numId w:val="2"/>
        </w:numPr>
        <w:tabs>
          <w:tab w:val="clear" w:pos="708"/>
          <w:tab w:val="left" w:pos="0" w:leader="none"/>
        </w:tabs>
        <w:ind w:left="709" w:hanging="283"/>
        <w:jc w:val="both"/>
        <w:rPr/>
      </w:pPr>
      <w:r>
        <w:rPr>
          <w:rStyle w:val="Nfaseforte"/>
          <w:rFonts w:eastAsia="Times New Roman" w:cs="Times New Roman" w:ascii="Century Gothic" w:hAnsi="Century Gothic"/>
          <w:color w:val="auto"/>
          <w:kern w:val="0"/>
          <w:sz w:val="20"/>
          <w:szCs w:val="20"/>
          <w:lang w:val="pt-BR" w:eastAsia="pt-BR" w:bidi="ar-SA"/>
        </w:rPr>
        <w:t>Implantação de unidade escolar moderna, segura e funcional</w:t>
      </w:r>
      <w:r>
        <w:rPr>
          <w:rFonts w:eastAsia="Times New Roman" w:cs="Times New Roman" w:ascii="Century Gothic" w:hAnsi="Century Gothic"/>
          <w:color w:val="auto"/>
          <w:kern w:val="0"/>
          <w:sz w:val="20"/>
          <w:szCs w:val="20"/>
          <w:lang w:val="pt-BR" w:eastAsia="pt-BR" w:bidi="ar-SA"/>
        </w:rPr>
        <w:t>: construção de edificação com área construída de 1.887,26 m², projetada conforme padrões técnicos do FNDE, garantindo ambientes adequados ao uso pedagógico, administrativo e de apoio, com conforto térmico, acústico e visual.</w:t>
      </w:r>
    </w:p>
    <w:p>
      <w:pPr>
        <w:pStyle w:val="Corpodotexto"/>
        <w:numPr>
          <w:ilvl w:val="0"/>
          <w:numId w:val="2"/>
        </w:numPr>
        <w:tabs>
          <w:tab w:val="clear" w:pos="708"/>
          <w:tab w:val="left" w:pos="0" w:leader="none"/>
        </w:tabs>
        <w:ind w:left="709" w:hanging="283"/>
        <w:jc w:val="both"/>
        <w:rPr/>
      </w:pPr>
      <w:r>
        <w:rPr>
          <w:rStyle w:val="Nfaseforte"/>
          <w:rFonts w:eastAsia="Times New Roman" w:cs="Times New Roman" w:ascii="Century Gothic" w:hAnsi="Century Gothic"/>
          <w:color w:val="auto"/>
          <w:kern w:val="0"/>
          <w:sz w:val="20"/>
          <w:szCs w:val="20"/>
          <w:lang w:val="pt-BR" w:eastAsia="pt-BR" w:bidi="ar-SA"/>
        </w:rPr>
        <w:t>Atendimento pleno às normas técnicas e de acessibilidade</w:t>
      </w:r>
      <w:r>
        <w:rPr>
          <w:rFonts w:eastAsia="Times New Roman" w:cs="Times New Roman" w:ascii="Century Gothic" w:hAnsi="Century Gothic"/>
          <w:color w:val="auto"/>
          <w:kern w:val="0"/>
          <w:sz w:val="20"/>
          <w:szCs w:val="20"/>
          <w:lang w:val="pt-BR" w:eastAsia="pt-BR" w:bidi="ar-SA"/>
        </w:rPr>
        <w:t>: execução de edificação concebida com base nos princípios da acessibilidade universal, incluindo rotas acessíveis, sanitários adaptados, sinalização adequada e circulação segura, assegurando inclusão, autonomia e igualdade de acesso a todos os usuários.</w:t>
      </w:r>
    </w:p>
    <w:p>
      <w:pPr>
        <w:pStyle w:val="Corpodotexto"/>
        <w:numPr>
          <w:ilvl w:val="0"/>
          <w:numId w:val="2"/>
        </w:numPr>
        <w:tabs>
          <w:tab w:val="clear" w:pos="708"/>
          <w:tab w:val="left" w:pos="0" w:leader="none"/>
        </w:tabs>
        <w:ind w:left="709" w:hanging="283"/>
        <w:jc w:val="both"/>
        <w:rPr/>
      </w:pPr>
      <w:r>
        <w:rPr>
          <w:rStyle w:val="Nfaseforte"/>
          <w:rFonts w:eastAsia="Times New Roman" w:cs="Times New Roman" w:ascii="Century Gothic" w:hAnsi="Century Gothic"/>
          <w:color w:val="auto"/>
          <w:kern w:val="0"/>
          <w:sz w:val="20"/>
          <w:szCs w:val="20"/>
          <w:lang w:val="pt-BR" w:eastAsia="pt-BR" w:bidi="ar-SA"/>
        </w:rPr>
        <w:t>Qualificação dos espaços pedagógicos e administrativos</w:t>
      </w:r>
      <w:r>
        <w:rPr>
          <w:rFonts w:eastAsia="Times New Roman" w:cs="Times New Roman" w:ascii="Century Gothic" w:hAnsi="Century Gothic"/>
          <w:color w:val="auto"/>
          <w:kern w:val="0"/>
          <w:sz w:val="20"/>
          <w:szCs w:val="20"/>
          <w:lang w:val="pt-BR" w:eastAsia="pt-BR" w:bidi="ar-SA"/>
        </w:rPr>
        <w:t>: disponibilização de treze salas de aula padronizadas, ambientes administrativos, áreas de convivência e espaços externos planejados para favorecer o desenvolvimento das atividades educacionais, respeitando parâmetros pedagógicos, de conforto ambiental e distanciamento.</w:t>
      </w:r>
    </w:p>
    <w:p>
      <w:pPr>
        <w:pStyle w:val="Corpodotexto"/>
        <w:numPr>
          <w:ilvl w:val="0"/>
          <w:numId w:val="2"/>
        </w:numPr>
        <w:tabs>
          <w:tab w:val="clear" w:pos="708"/>
          <w:tab w:val="left" w:pos="0" w:leader="none"/>
        </w:tabs>
        <w:ind w:left="709" w:hanging="283"/>
        <w:jc w:val="both"/>
        <w:rPr/>
      </w:pPr>
      <w:r>
        <w:rPr>
          <w:rStyle w:val="Nfaseforte"/>
          <w:rFonts w:eastAsia="Times New Roman" w:cs="Times New Roman" w:ascii="Century Gothic" w:hAnsi="Century Gothic"/>
          <w:color w:val="auto"/>
          <w:kern w:val="0"/>
          <w:sz w:val="20"/>
          <w:szCs w:val="20"/>
          <w:lang w:val="pt-BR" w:eastAsia="pt-BR" w:bidi="ar-SA"/>
        </w:rPr>
        <w:t>Ampliação da capacidade de atendimento da rede pública de ensino</w:t>
      </w:r>
      <w:r>
        <w:rPr>
          <w:rFonts w:eastAsia="Times New Roman" w:cs="Times New Roman" w:ascii="Century Gothic" w:hAnsi="Century Gothic"/>
          <w:color w:val="auto"/>
          <w:kern w:val="0"/>
          <w:sz w:val="20"/>
          <w:szCs w:val="20"/>
          <w:lang w:val="pt-BR" w:eastAsia="pt-BR" w:bidi="ar-SA"/>
        </w:rPr>
        <w:t>: oferta de vagas para até 910 alunos em dois turnos ou 455 alunos em período integral, atendendo aos dois ciclos do Ensino Fundamental, do 1º ao 9º ano, com organização espacial compatível com as diferentes faixas etárias.</w:t>
      </w:r>
    </w:p>
    <w:p>
      <w:pPr>
        <w:pStyle w:val="Corpodotexto"/>
        <w:numPr>
          <w:ilvl w:val="0"/>
          <w:numId w:val="2"/>
        </w:numPr>
        <w:tabs>
          <w:tab w:val="clear" w:pos="708"/>
          <w:tab w:val="left" w:pos="0" w:leader="none"/>
        </w:tabs>
        <w:ind w:left="709" w:hanging="283"/>
        <w:jc w:val="both"/>
        <w:rPr/>
      </w:pPr>
      <w:r>
        <w:rPr>
          <w:rStyle w:val="Nfaseforte"/>
          <w:rFonts w:eastAsia="Times New Roman" w:cs="Times New Roman" w:ascii="Century Gothic" w:hAnsi="Century Gothic"/>
          <w:color w:val="auto"/>
          <w:kern w:val="0"/>
          <w:sz w:val="20"/>
          <w:szCs w:val="20"/>
          <w:lang w:val="pt-BR" w:eastAsia="pt-BR" w:bidi="ar-SA"/>
        </w:rPr>
        <w:t>Promoção de ambientes educacionais inclusivos e humanizados</w:t>
      </w:r>
      <w:r>
        <w:rPr>
          <w:rFonts w:eastAsia="Times New Roman" w:cs="Times New Roman" w:ascii="Century Gothic" w:hAnsi="Century Gothic"/>
          <w:color w:val="auto"/>
          <w:kern w:val="0"/>
          <w:sz w:val="20"/>
          <w:szCs w:val="20"/>
          <w:lang w:val="pt-BR" w:eastAsia="pt-BR" w:bidi="ar-SA"/>
        </w:rPr>
        <w:t>: adoção de partido arquitetônico que considera os aspectos físicos, psicológicos, intelectuais e sociais dos estudantes, integrando ambientes internos e externos e respeitando as diversidades ambientais, climáticas e socioculturais do território.</w:t>
      </w:r>
    </w:p>
    <w:p>
      <w:pPr>
        <w:pStyle w:val="Corpodotexto"/>
        <w:jc w:val="both"/>
        <w:rPr/>
      </w:pPr>
      <w:r>
        <w:rPr>
          <w:rStyle w:val="Nfaseforte"/>
          <w:rFonts w:eastAsia="Times New Roman" w:cs="Times New Roman" w:ascii="Century Gothic" w:hAnsi="Century Gothic"/>
          <w:color w:val="auto"/>
          <w:kern w:val="0"/>
          <w:sz w:val="20"/>
          <w:szCs w:val="20"/>
          <w:lang w:val="pt-BR" w:eastAsia="pt-BR" w:bidi="ar-SA"/>
        </w:rPr>
        <w:t>Benefícios diretos:</w:t>
      </w:r>
    </w:p>
    <w:p>
      <w:pPr>
        <w:pStyle w:val="Corpodotexto"/>
        <w:numPr>
          <w:ilvl w:val="0"/>
          <w:numId w:val="3"/>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Ampliação imediata da oferta de vagas no Ensino Fundamental;</w:t>
      </w:r>
    </w:p>
    <w:p>
      <w:pPr>
        <w:pStyle w:val="Corpodotexto"/>
        <w:numPr>
          <w:ilvl w:val="0"/>
          <w:numId w:val="3"/>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Disponibilização de infraestrutura escolar adequada, segura e acessível;</w:t>
      </w:r>
    </w:p>
    <w:p>
      <w:pPr>
        <w:pStyle w:val="Corpodotexto"/>
        <w:numPr>
          <w:ilvl w:val="0"/>
          <w:numId w:val="3"/>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Melhoria das condições de ensino, aprendizagem e trabalho para alunos e profissionais da educação;</w:t>
      </w:r>
    </w:p>
    <w:p>
      <w:pPr>
        <w:pStyle w:val="Corpodotexto"/>
        <w:numPr>
          <w:ilvl w:val="0"/>
          <w:numId w:val="3"/>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Atendimento às normas técnicas, de segurança e acessibilidade vigentes.</w:t>
      </w:r>
    </w:p>
    <w:p>
      <w:pPr>
        <w:pStyle w:val="Corpodotexto"/>
        <w:jc w:val="both"/>
        <w:rPr/>
      </w:pPr>
      <w:r>
        <w:rPr>
          <w:rStyle w:val="Nfaseforte"/>
          <w:rFonts w:eastAsia="Times New Roman" w:cs="Times New Roman" w:ascii="Century Gothic" w:hAnsi="Century Gothic"/>
          <w:color w:val="auto"/>
          <w:kern w:val="0"/>
          <w:sz w:val="20"/>
          <w:szCs w:val="20"/>
          <w:lang w:val="pt-BR" w:eastAsia="pt-BR" w:bidi="ar-SA"/>
        </w:rPr>
        <w:t>Benefícios indiretos:</w:t>
      </w:r>
    </w:p>
    <w:p>
      <w:pPr>
        <w:pStyle w:val="Corpodotexto"/>
        <w:numPr>
          <w:ilvl w:val="0"/>
          <w:numId w:val="4"/>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Fortalecimento da relação escola–comunidade por meio de espaços educacionais acolhedores e qualificados;</w:t>
      </w:r>
    </w:p>
    <w:p>
      <w:pPr>
        <w:pStyle w:val="Corpodotexto"/>
        <w:numPr>
          <w:ilvl w:val="0"/>
          <w:numId w:val="4"/>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Valorização dos profissionais da educação e maior engajamento das famílias;</w:t>
      </w:r>
    </w:p>
    <w:p>
      <w:pPr>
        <w:pStyle w:val="Corpodotexto"/>
        <w:numPr>
          <w:ilvl w:val="0"/>
          <w:numId w:val="4"/>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Redução de custos futuros com manutenção corretiva, em razão da construção de edificação nova e padronizada;</w:t>
      </w:r>
    </w:p>
    <w:p>
      <w:pPr>
        <w:pStyle w:val="Corpodotexto"/>
        <w:numPr>
          <w:ilvl w:val="0"/>
          <w:numId w:val="4"/>
        </w:numPr>
        <w:tabs>
          <w:tab w:val="clear" w:pos="708"/>
          <w:tab w:val="left" w:pos="0" w:leader="none"/>
        </w:tabs>
        <w:ind w:left="709" w:hanging="283"/>
        <w:jc w:val="both"/>
        <w:rPr>
          <w:rFonts w:ascii="Century Gothic" w:hAnsi="Century Gothic" w:eastAsia="Times New Roman" w:cs="Times New Roman"/>
          <w:color w:val="auto"/>
          <w:kern w:val="0"/>
          <w:sz w:val="20"/>
          <w:szCs w:val="20"/>
          <w:lang w:val="pt-BR" w:eastAsia="pt-BR" w:bidi="ar-SA"/>
        </w:rPr>
      </w:pPr>
      <w:r>
        <w:rPr>
          <w:rFonts w:eastAsia="Times New Roman" w:cs="Times New Roman" w:ascii="Century Gothic" w:hAnsi="Century Gothic"/>
          <w:color w:val="auto"/>
          <w:kern w:val="0"/>
          <w:sz w:val="20"/>
          <w:szCs w:val="20"/>
          <w:lang w:val="pt-BR" w:eastAsia="pt-BR" w:bidi="ar-SA"/>
        </w:rPr>
        <w:t>Consolidação da imagem do município como ente comprometido com a expansão e a qualidade da educação pública.</w:t>
      </w:r>
    </w:p>
    <w:p>
      <w:pPr>
        <w:pStyle w:val="Corpodotexto"/>
        <w:jc w:val="both"/>
        <w:rPr/>
      </w:pPr>
      <w:r>
        <w:rPr>
          <w:rFonts w:eastAsia="Times New Roman" w:cs="Times New Roman" w:ascii="Century Gothic" w:hAnsi="Century Gothic"/>
          <w:color w:val="auto"/>
          <w:kern w:val="0"/>
          <w:sz w:val="20"/>
          <w:szCs w:val="20"/>
          <w:lang w:val="pt-BR" w:eastAsia="pt-BR" w:bidi="ar-SA"/>
        </w:rPr>
        <w:t xml:space="preserve">Assim, a </w:t>
      </w:r>
      <w:r>
        <w:rPr>
          <w:rStyle w:val="Nfaseforte"/>
          <w:rFonts w:eastAsia="Times New Roman" w:cs="Times New Roman" w:ascii="Century Gothic" w:hAnsi="Century Gothic"/>
          <w:color w:val="auto"/>
          <w:kern w:val="0"/>
          <w:sz w:val="20"/>
          <w:szCs w:val="20"/>
          <w:lang w:val="pt-BR" w:eastAsia="pt-BR" w:bidi="ar-SA"/>
        </w:rPr>
        <w:t>construção da Escola 13 Salas – Padrão FNDE</w:t>
      </w:r>
      <w:r>
        <w:rPr>
          <w:rFonts w:eastAsia="Times New Roman" w:cs="Times New Roman" w:ascii="Century Gothic" w:hAnsi="Century Gothic"/>
          <w:color w:val="auto"/>
          <w:kern w:val="0"/>
          <w:sz w:val="20"/>
          <w:szCs w:val="20"/>
          <w:lang w:val="pt-BR" w:eastAsia="pt-BR" w:bidi="ar-SA"/>
        </w:rPr>
        <w:t xml:space="preserve"> configura-se como investimento estratégico e estruturante, essencial para assegurar o atendimento adequado aos alunos do Ensino Fundamental, promover inclusão, segurança e qualidade pedagógica, e contribuir para o desenvolvimento educacional e social do município.</w:t>
      </w:r>
    </w:p>
    <w:p>
      <w:pPr>
        <w:pStyle w:val="Normal"/>
        <w:spacing w:lineRule="auto" w:line="276" w:before="57" w:after="57"/>
        <w:jc w:val="both"/>
        <w:rPr>
          <w:rFonts w:ascii="Century Gothic" w:hAnsi="Century Gothic" w:eastAsia="Times New Roman" w:cs="Times New Roman"/>
          <w:color w:val="auto"/>
          <w:kern w:val="0"/>
          <w:sz w:val="20"/>
          <w:szCs w:val="20"/>
          <w:lang w:val="pt-BR" w:eastAsia="pt-BR" w:bidi="ar-SA"/>
        </w:rPr>
      </w:pPr>
      <w:r>
        <w:rPr/>
      </w:r>
    </w:p>
    <w:sectPr>
      <w:headerReference w:type="default" r:id="rId2"/>
      <w:footerReference w:type="default" r:id="rId3"/>
      <w:type w:val="nextPage"/>
      <w:pgSz w:w="11906" w:h="16838"/>
      <w:pgMar w:left="993" w:right="851" w:gutter="0" w:header="426" w:top="2127" w:footer="31"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Liberation Serif">
    <w:altName w:val="Times New Roman"/>
    <w:charset w:val="00"/>
    <w:family w:val="swiss"/>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Liberation Mono">
    <w:altName w:val="Courier New"/>
    <w:charset w:val="00"/>
    <w:family w:val="roman"/>
    <w:pitch w:val="variable"/>
  </w:font>
  <w:font w:name="Century Goth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Style w:val="Tabelacomgrade"/>
      <w:tblW w:w="1013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280"/>
      <w:gridCol w:w="1364"/>
      <w:gridCol w:w="5494"/>
    </w:tblGrid>
    <w:tr>
      <w:trPr/>
      <w:tc>
        <w:tcPr>
          <w:tcW w:w="3280" w:type="dxa"/>
          <w:tcBorders>
            <w:top w:val="single" w:sz="24" w:space="0" w:color="FFFFFF"/>
            <w:left w:val="single" w:sz="4" w:space="0" w:color="FFFFFF"/>
            <w:bottom w:val="single" w:sz="4" w:space="0" w:color="FFFFFF"/>
            <w:right w:val="single" w:sz="4" w:space="0" w:color="FFFFFF"/>
          </w:tcBorders>
        </w:tcPr>
        <w:p>
          <w:pPr>
            <w:pStyle w:val="Rodap"/>
            <w:widowControl w:val="false"/>
            <w:suppressAutoHyphens w:val="true"/>
            <w:spacing w:before="0" w:after="0"/>
            <w:jc w:val="left"/>
            <w:rPr>
              <w:kern w:val="0"/>
              <w:lang w:val="pt-BR" w:bidi="ar-SA"/>
            </w:rPr>
          </w:pPr>
          <w:r>
            <w:rPr/>
            <w:drawing>
              <wp:inline distT="0" distB="0" distL="0" distR="0">
                <wp:extent cx="1967865" cy="473710"/>
                <wp:effectExtent l="0" t="0" r="0" b="0"/>
                <wp:docPr id="7" name="Imagem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9" descr=""/>
                        <pic:cNvPicPr>
                          <a:picLocks noChangeAspect="1" noChangeArrowheads="1"/>
                        </pic:cNvPicPr>
                      </pic:nvPicPr>
                      <pic:blipFill>
                        <a:blip r:embed="rId1"/>
                        <a:stretch>
                          <a:fillRect/>
                        </a:stretch>
                      </pic:blipFill>
                      <pic:spPr bwMode="auto">
                        <a:xfrm>
                          <a:off x="0" y="0"/>
                          <a:ext cx="1967865" cy="473710"/>
                        </a:xfrm>
                        <a:prstGeom prst="rect">
                          <a:avLst/>
                        </a:prstGeom>
                      </pic:spPr>
                    </pic:pic>
                  </a:graphicData>
                </a:graphic>
              </wp:inline>
            </w:drawing>
          </w:r>
        </w:p>
      </w:tc>
      <w:tc>
        <w:tcPr>
          <w:tcW w:w="1364" w:type="dxa"/>
          <w:tcBorders>
            <w:top w:val="single" w:sz="24" w:space="0" w:color="FFFFFF"/>
            <w:left w:val="single" w:sz="4" w:space="0" w:color="FFFFFF"/>
            <w:bottom w:val="single" w:sz="4" w:space="0" w:color="FFFFFF"/>
            <w:right w:val="single" w:sz="4" w:space="0" w:color="FFFFFF"/>
          </w:tcBorders>
        </w:tcPr>
        <w:p>
          <w:pPr>
            <w:pStyle w:val="Rodap"/>
            <w:widowControl w:val="false"/>
            <w:suppressAutoHyphens w:val="true"/>
            <w:spacing w:before="0" w:after="0"/>
            <w:jc w:val="right"/>
            <w:rPr>
              <w:b/>
              <w:b/>
              <w:bCs/>
            </w:rPr>
          </w:pPr>
          <w:r>
            <w:rPr>
              <w:b/>
              <w:bCs/>
            </w:rPr>
          </w:r>
        </w:p>
      </w:tc>
      <w:tc>
        <w:tcPr>
          <w:tcW w:w="5494" w:type="dxa"/>
          <w:tcBorders>
            <w:left w:val="single" w:sz="4" w:space="0" w:color="FFFFFF"/>
            <w:bottom w:val="single" w:sz="4" w:space="0" w:color="FFFFFF"/>
            <w:right w:val="single" w:sz="4" w:space="0" w:color="FFFFFF"/>
          </w:tcBorders>
        </w:tcPr>
        <w:p>
          <w:pPr>
            <w:pStyle w:val="Contedodoquadro"/>
            <w:widowControl w:val="false"/>
            <w:suppressAutoHyphens w:val="true"/>
            <w:bidi w:val="0"/>
            <w:spacing w:before="0" w:after="0"/>
            <w:ind w:left="0" w:right="-113" w:hanging="0"/>
            <w:jc w:val="right"/>
            <w:rPr/>
          </w:pPr>
          <w:r>
            <w:rPr>
              <w:rFonts w:eastAsia="Calibri" w:cs="" w:ascii="Calibri" w:hAnsi="Calibri" w:asciiTheme="minorHAnsi" w:cstheme="minorBidi" w:eastAsiaTheme="minorHAnsi" w:hAnsiTheme="minorHAnsi"/>
              <w:b/>
              <w:bCs/>
              <w:color w:val="000000"/>
              <w:kern w:val="0"/>
              <w:sz w:val="18"/>
              <w:szCs w:val="18"/>
              <w:lang w:val="pt-BR" w:eastAsia="en-US" w:bidi="ar-SA"/>
            </w:rPr>
            <w:t>Secretaria Municipal De Educação, Cultura, Esporte e Lazer</w:t>
          </w:r>
        </w:p>
        <w:p>
          <w:pPr>
            <w:pStyle w:val="Rodap"/>
            <w:widowControl w:val="false"/>
            <w:suppressAutoHyphens w:val="true"/>
            <w:bidi w:val="0"/>
            <w:spacing w:before="0" w:after="0"/>
            <w:ind w:left="57" w:right="-57" w:hanging="0"/>
            <w:jc w:val="right"/>
            <w:rPr>
              <w:sz w:val="18"/>
              <w:szCs w:val="18"/>
            </w:rPr>
          </w:pPr>
          <w:r>
            <w:rPr>
              <w:kern w:val="0"/>
              <w:sz w:val="18"/>
              <w:szCs w:val="18"/>
              <w:lang w:val="pt-BR" w:bidi="ar-SA"/>
            </w:rPr>
            <w:t>Rua Rio Branco, 2916- 1º Andar -Bairro Santa Marta</w:t>
          </w:r>
        </w:p>
        <w:p>
          <w:pPr>
            <w:pStyle w:val="Rodap"/>
            <w:widowControl w:val="false"/>
            <w:suppressAutoHyphens w:val="true"/>
            <w:bidi w:val="0"/>
            <w:spacing w:before="0" w:after="0"/>
            <w:ind w:left="57" w:right="-57" w:hanging="0"/>
            <w:jc w:val="right"/>
            <w:rPr>
              <w:sz w:val="18"/>
              <w:szCs w:val="18"/>
            </w:rPr>
          </w:pPr>
          <w:r>
            <w:rPr>
              <w:kern w:val="0"/>
              <w:sz w:val="18"/>
              <w:szCs w:val="18"/>
              <w:lang w:val="pt-BR" w:bidi="ar-SA"/>
            </w:rPr>
            <w:t>E-mail: execucaofinanceira.semec@gmail.com</w:t>
          </w:r>
        </w:p>
        <w:p>
          <w:pPr>
            <w:pStyle w:val="Rodap"/>
            <w:widowControl w:val="false"/>
            <w:suppressAutoHyphens w:val="true"/>
            <w:spacing w:before="0" w:after="0"/>
            <w:jc w:val="right"/>
            <w:rPr>
              <w:b w:val="false"/>
              <w:b w:val="false"/>
              <w:bCs w:val="false"/>
            </w:rPr>
          </w:pPr>
          <w:r>
            <w:rPr>
              <w:b w:val="false"/>
              <w:bCs w:val="false"/>
              <w:kern w:val="0"/>
              <w:sz w:val="18"/>
              <w:szCs w:val="18"/>
              <w:lang w:val="pt-BR" w:bidi="ar-SA"/>
            </w:rPr>
            <w:t>Telefone: 66 3410-0614</w:t>
          </w:r>
        </w:p>
      </w:tc>
    </w:tr>
  </w:tbl>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ind w:left="3261" w:hanging="0"/>
      <w:rPr>
        <w:sz w:val="2"/>
      </w:rPr>
    </w:pPr>
    <w:r>
      <w:rPr>
        <w:sz w:val="2"/>
      </w:rPr>
      <w:drawing>
        <wp:anchor behindDoc="1" distT="0" distB="0" distL="0" distR="0" simplePos="0" locked="0" layoutInCell="0" allowOverlap="1" relativeHeight="17">
          <wp:simplePos x="0" y="0"/>
          <wp:positionH relativeFrom="column">
            <wp:posOffset>-3175</wp:posOffset>
          </wp:positionH>
          <wp:positionV relativeFrom="paragraph">
            <wp:posOffset>7620</wp:posOffset>
          </wp:positionV>
          <wp:extent cx="6405880" cy="1285240"/>
          <wp:effectExtent l="0" t="0" r="0" b="0"/>
          <wp:wrapTopAndBottom/>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6405880" cy="1285240"/>
                  </a:xfrm>
                  <a:prstGeom prst="rect">
                    <a:avLst/>
                  </a:prstGeom>
                </pic:spPr>
              </pic:pic>
            </a:graphicData>
          </a:graphic>
        </wp:anchor>
      </w:drawing>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mc:AlternateContent>
        <mc:Choice Requires="wps">
          <w:drawing>
            <wp:anchor behindDoc="1" distT="0" distB="0" distL="0" distR="0" simplePos="0" locked="0" layoutInCell="0" allowOverlap="1" relativeHeight="24" wp14:anchorId="2840B80C">
              <wp:simplePos x="0" y="0"/>
              <wp:positionH relativeFrom="column">
                <wp:posOffset>3244850</wp:posOffset>
              </wp:positionH>
              <wp:positionV relativeFrom="paragraph">
                <wp:posOffset>635</wp:posOffset>
              </wp:positionV>
              <wp:extent cx="3133725" cy="733425"/>
              <wp:effectExtent l="0" t="0" r="0" b="0"/>
              <wp:wrapNone/>
              <wp:docPr id="2" name="Quadro de texto 1"/>
              <a:graphic xmlns:a="http://schemas.openxmlformats.org/drawingml/2006/main">
                <a:graphicData uri="http://schemas.microsoft.com/office/word/2010/wordprocessingShape">
                  <wps:wsp>
                    <wps:cNvSpPr/>
                    <wps:spPr>
                      <a:xfrm>
                        <a:off x="0" y="0"/>
                        <a:ext cx="3133800" cy="733320"/>
                      </a:xfrm>
                      <a:prstGeom prst="rect">
                        <a:avLst/>
                      </a:prstGeom>
                      <a:noFill/>
                      <a:ln w="0">
                        <a:noFill/>
                      </a:ln>
                    </wps:spPr>
                    <wps:style>
                      <a:lnRef idx="0"/>
                      <a:fillRef idx="0"/>
                      <a:effectRef idx="0"/>
                      <a:fontRef idx="minor"/>
                    </wps:style>
                    <wps:txbx>
                      <w:txbxContent>
                        <w:p>
                          <w:pPr>
                            <w:pStyle w:val="Contedodoquadro"/>
                            <w:overflowPunct w:val="true"/>
                            <w:rPr>
                              <w:sz w:val="4"/>
                              <w:szCs w:val="4"/>
                            </w:rPr>
                          </w:pPr>
                          <w:r>
                            <w:rPr>
                              <w:sz w:val="4"/>
                              <w:szCs w:val="4"/>
                            </w:rPr>
                          </w:r>
                        </w:p>
                        <w:p>
                          <w:pPr>
                            <w:pStyle w:val="Normal"/>
                            <w:widowControl/>
                            <w:suppressAutoHyphens w:val="true"/>
                            <w:bidi w:val="0"/>
                            <w:spacing w:before="0" w:after="0"/>
                            <w:ind w:left="0" w:right="-113" w:hanging="0"/>
                            <w:jc w:val="left"/>
                            <w:rPr/>
                          </w:pPr>
                          <w:r>
                            <w:rPr>
                              <w:rFonts w:eastAsia="Calibri" w:cs="" w:ascii="Calibri" w:hAnsi="Calibri" w:asciiTheme="minorHAnsi" w:cstheme="minorBidi" w:eastAsiaTheme="minorHAnsi" w:hAnsiTheme="minorHAnsi"/>
                              <w:b/>
                              <w:bCs/>
                              <w:color w:val="000000"/>
                              <w:sz w:val="18"/>
                              <w:szCs w:val="18"/>
                              <w:lang w:eastAsia="en-US"/>
                            </w:rPr>
                            <w:t xml:space="preserve"> </w:t>
                          </w:r>
                          <w:r>
                            <w:rPr>
                              <w:rFonts w:eastAsia="Calibri" w:cs="" w:ascii="Calibri" w:hAnsi="Calibri" w:asciiTheme="minorHAnsi" w:cstheme="minorBidi" w:eastAsiaTheme="minorHAnsi" w:hAnsiTheme="minorHAnsi"/>
                              <w:b/>
                              <w:bCs/>
                              <w:color w:val="000000"/>
                              <w:sz w:val="17"/>
                              <w:szCs w:val="17"/>
                              <w:lang w:eastAsia="en-US"/>
                            </w:rPr>
                            <w:t>Secretaria Municipal De Educação, Cultura, Esporte e Lazer</w:t>
                          </w:r>
                        </w:p>
                        <w:p>
                          <w:pPr>
                            <w:pStyle w:val="Contedodoquadro"/>
                            <w:widowControl/>
                            <w:suppressAutoHyphens w:val="true"/>
                            <w:bidi w:val="0"/>
                            <w:spacing w:before="0" w:after="0"/>
                            <w:ind w:left="0" w:right="-113" w:hanging="0"/>
                            <w:jc w:val="left"/>
                            <w:rPr>
                              <w:sz w:val="17"/>
                              <w:szCs w:val="17"/>
                            </w:rPr>
                          </w:pPr>
                          <w:r>
                            <w:rPr>
                              <w:rFonts w:eastAsia="Calibri" w:cs="" w:ascii="Calibri" w:hAnsi="Calibri" w:asciiTheme="minorHAnsi" w:cstheme="minorBidi" w:eastAsiaTheme="minorHAnsi" w:hAnsiTheme="minorHAnsi"/>
                              <w:b/>
                              <w:bCs/>
                              <w:color w:val="000000"/>
                              <w:sz w:val="17"/>
                              <w:szCs w:val="17"/>
                              <w:lang w:eastAsia="en-US"/>
                            </w:rPr>
                            <w:t xml:space="preserve"> </w:t>
                          </w:r>
                          <w:r>
                            <w:rPr>
                              <w:rFonts w:eastAsia="Calibri" w:cs="" w:ascii="Calibri" w:hAnsi="Calibri"/>
                              <w:b/>
                              <w:bCs/>
                              <w:i w:val="false"/>
                              <w:color w:val="000000"/>
                              <w:kern w:val="0"/>
                              <w:sz w:val="18"/>
                              <w:szCs w:val="18"/>
                              <w:lang w:val="pt-BR" w:eastAsia="en-US" w:bidi="ar-SA"/>
                            </w:rPr>
                            <w:t xml:space="preserve">Departamento de Infraestrutura e Manutenções – </w:t>
                          </w:r>
                          <w:r>
                            <w:rPr>
                              <w:rFonts w:eastAsia="Calibri" w:cs="" w:ascii="Calibri" w:hAnsi="Calibri"/>
                              <w:b/>
                              <w:bCs/>
                              <w:color w:val="000000"/>
                              <w:kern w:val="0"/>
                              <w:sz w:val="18"/>
                              <w:szCs w:val="18"/>
                              <w:lang w:val="pt-BR" w:eastAsia="en-US" w:bidi="ar-SA"/>
                            </w:rPr>
                            <w:t>Educação</w:t>
                          </w:r>
                        </w:p>
                        <w:p>
                          <w:pPr>
                            <w:pStyle w:val="Contedodoquadro"/>
                            <w:widowControl/>
                            <w:suppressAutoHyphens w:val="true"/>
                            <w:bidi w:val="0"/>
                            <w:spacing w:before="0" w:after="0"/>
                            <w:ind w:left="0" w:right="-113" w:hanging="0"/>
                            <w:jc w:val="left"/>
                            <w:rPr>
                              <w:sz w:val="17"/>
                              <w:szCs w:val="17"/>
                            </w:rPr>
                          </w:pPr>
                          <w:r>
                            <w:rPr>
                              <w:rFonts w:eastAsia="Calibri" w:cs="" w:ascii="Calibri" w:hAnsi="Calibri"/>
                              <w:b/>
                              <w:bCs/>
                              <w:color w:val="000000"/>
                              <w:kern w:val="0"/>
                              <w:sz w:val="17"/>
                              <w:szCs w:val="17"/>
                              <w:lang w:val="pt-BR" w:eastAsia="en-US" w:bidi="ar-SA"/>
                            </w:rPr>
                            <w:t xml:space="preserve"> </w:t>
                          </w:r>
                          <w:r>
                            <w:rPr>
                              <w:rFonts w:eastAsia="Calibri" w:cs="" w:ascii="Calibri" w:hAnsi="Calibri"/>
                              <w:b/>
                              <w:bCs/>
                              <w:color w:val="000000"/>
                              <w:kern w:val="0"/>
                              <w:sz w:val="17"/>
                              <w:szCs w:val="17"/>
                              <w:lang w:val="pt-BR" w:eastAsia="en-US" w:bidi="ar-SA"/>
                            </w:rPr>
                            <w:t>Ofício: 35/2026/AEGFA/SMECEL</w:t>
                          </w:r>
                        </w:p>
                        <w:p>
                          <w:pPr>
                            <w:pStyle w:val="Contedodoquadro"/>
                            <w:widowControl/>
                            <w:suppressAutoHyphens w:val="true"/>
                            <w:bidi w:val="0"/>
                            <w:spacing w:before="0" w:after="0"/>
                            <w:ind w:left="0" w:right="-113" w:hanging="0"/>
                            <w:jc w:val="left"/>
                            <w:rPr>
                              <w:rFonts w:ascii="Calibri" w:hAnsi="Calibri" w:eastAsia="Calibri" w:cs=""/>
                              <w:b/>
                              <w:b/>
                              <w:bCs/>
                              <w:color w:val="000000"/>
                              <w:kern w:val="0"/>
                              <w:sz w:val="17"/>
                              <w:szCs w:val="17"/>
                              <w:lang w:val="pt-BR" w:eastAsia="en-US" w:bidi="ar-SA"/>
                            </w:rPr>
                          </w:pPr>
                          <w:r>
                            <w:rPr>
                              <w:rFonts w:eastAsia="Calibri" w:cs="" w:ascii="Calibri" w:hAnsi="Calibri"/>
                              <w:b/>
                              <w:bCs/>
                              <w:color w:val="000000"/>
                              <w:kern w:val="0"/>
                              <w:sz w:val="17"/>
                              <w:szCs w:val="17"/>
                              <w:lang w:val="pt-BR" w:eastAsia="en-US" w:bidi="ar-SA"/>
                            </w:rPr>
                          </w:r>
                        </w:p>
                        <w:p>
                          <w:pPr>
                            <w:pStyle w:val="Contedodoquadro"/>
                            <w:widowControl/>
                            <w:suppressAutoHyphens w:val="true"/>
                            <w:bidi w:val="0"/>
                            <w:spacing w:before="0" w:after="0"/>
                            <w:ind w:left="0" w:right="454" w:hanging="0"/>
                            <w:jc w:val="right"/>
                            <w:rPr>
                              <w:b w:val="false"/>
                              <w:b w:val="false"/>
                              <w:bCs w:val="false"/>
                            </w:rPr>
                          </w:pPr>
                          <w:r>
                            <w:rPr>
                              <w:rFonts w:eastAsia="Calibri" w:cs="" w:ascii="Calibri" w:hAnsi="Calibri" w:asciiTheme="minorHAnsi" w:cstheme="minorBidi" w:eastAsiaTheme="minorHAnsi" w:hAnsiTheme="minorHAnsi"/>
                              <w:b w:val="false"/>
                              <w:bCs w:val="false"/>
                              <w:color w:val="000000"/>
                              <w:sz w:val="17"/>
                              <w:szCs w:val="17"/>
                              <w:lang w:eastAsia="en-US"/>
                            </w:rPr>
                            <w:t>Rondonópolis, 30 de janeiro de 2026</w:t>
                          </w:r>
                          <w:r>
                            <w:rPr>
                              <w:rFonts w:eastAsia="Calibri" w:cs="" w:ascii="Calibri" w:hAnsi="Calibri" w:asciiTheme="minorHAnsi" w:cstheme="minorBidi" w:eastAsiaTheme="minorHAnsi" w:hAnsiTheme="minorHAnsi"/>
                              <w:b w:val="false"/>
                              <w:bCs w:val="false"/>
                              <w:color w:val="000000"/>
                              <w:sz w:val="18"/>
                              <w:szCs w:val="18"/>
                              <w:lang w:eastAsia="en-US"/>
                            </w:rPr>
                            <w:t>.</w:t>
                          </w:r>
                        </w:p>
                        <w:p>
                          <w:pPr>
                            <w:pStyle w:val="Contedodoquadro"/>
                            <w:overflowPunct w:val="true"/>
                            <w:jc w:val="center"/>
                            <w:rPr>
                              <w:color w:val="000000"/>
                            </w:rPr>
                          </w:pPr>
                          <w:r>
                            <w:rPr>
                              <w:color w:val="000000"/>
                            </w:rPr>
                          </w:r>
                        </w:p>
                      </w:txbxContent>
                    </wps:txbx>
                    <wps:bodyPr lIns="0" rIns="0" tIns="0" bIns="0" anchor="t">
                      <a:noAutofit/>
                    </wps:bodyPr>
                  </wps:wsp>
                </a:graphicData>
              </a:graphic>
            </wp:anchor>
          </w:drawing>
        </mc:Choice>
        <mc:Fallback>
          <w:pict>
            <v:rect id="shape_0" ID="Quadro de texto 1" path="m0,0l-2147483645,0l-2147483645,-2147483646l0,-2147483646xe" stroked="f" o:allowincell="f" style="position:absolute;margin-left:255.5pt;margin-top:0.05pt;width:246.7pt;height:57.7pt;mso-wrap-style:square;v-text-anchor:top" wp14:anchorId="2840B80C">
              <v:fill o:detectmouseclick="t" on="false"/>
              <v:stroke color="#3465a4" joinstyle="round" endcap="flat"/>
              <v:textbox>
                <w:txbxContent>
                  <w:p>
                    <w:pPr>
                      <w:pStyle w:val="Contedodoquadro"/>
                      <w:overflowPunct w:val="true"/>
                      <w:rPr>
                        <w:sz w:val="4"/>
                        <w:szCs w:val="4"/>
                      </w:rPr>
                    </w:pPr>
                    <w:r>
                      <w:rPr>
                        <w:sz w:val="4"/>
                        <w:szCs w:val="4"/>
                      </w:rPr>
                    </w:r>
                  </w:p>
                  <w:p>
                    <w:pPr>
                      <w:pStyle w:val="Normal"/>
                      <w:widowControl/>
                      <w:suppressAutoHyphens w:val="true"/>
                      <w:bidi w:val="0"/>
                      <w:spacing w:before="0" w:after="0"/>
                      <w:ind w:left="0" w:right="-113" w:hanging="0"/>
                      <w:jc w:val="left"/>
                      <w:rPr/>
                    </w:pPr>
                    <w:r>
                      <w:rPr>
                        <w:rFonts w:eastAsia="Calibri" w:cs="" w:ascii="Calibri" w:hAnsi="Calibri" w:asciiTheme="minorHAnsi" w:cstheme="minorBidi" w:eastAsiaTheme="minorHAnsi" w:hAnsiTheme="minorHAnsi"/>
                        <w:b/>
                        <w:bCs/>
                        <w:color w:val="000000"/>
                        <w:sz w:val="18"/>
                        <w:szCs w:val="18"/>
                        <w:lang w:eastAsia="en-US"/>
                      </w:rPr>
                      <w:t xml:space="preserve"> </w:t>
                    </w:r>
                    <w:r>
                      <w:rPr>
                        <w:rFonts w:eastAsia="Calibri" w:cs="" w:ascii="Calibri" w:hAnsi="Calibri" w:asciiTheme="minorHAnsi" w:cstheme="minorBidi" w:eastAsiaTheme="minorHAnsi" w:hAnsiTheme="minorHAnsi"/>
                        <w:b/>
                        <w:bCs/>
                        <w:color w:val="000000"/>
                        <w:sz w:val="17"/>
                        <w:szCs w:val="17"/>
                        <w:lang w:eastAsia="en-US"/>
                      </w:rPr>
                      <w:t>Secretaria Municipal De Educação, Cultura, Esporte e Lazer</w:t>
                    </w:r>
                  </w:p>
                  <w:p>
                    <w:pPr>
                      <w:pStyle w:val="Contedodoquadro"/>
                      <w:widowControl/>
                      <w:suppressAutoHyphens w:val="true"/>
                      <w:bidi w:val="0"/>
                      <w:spacing w:before="0" w:after="0"/>
                      <w:ind w:left="0" w:right="-113" w:hanging="0"/>
                      <w:jc w:val="left"/>
                      <w:rPr>
                        <w:sz w:val="17"/>
                        <w:szCs w:val="17"/>
                      </w:rPr>
                    </w:pPr>
                    <w:r>
                      <w:rPr>
                        <w:rFonts w:eastAsia="Calibri" w:cs="" w:ascii="Calibri" w:hAnsi="Calibri" w:asciiTheme="minorHAnsi" w:cstheme="minorBidi" w:eastAsiaTheme="minorHAnsi" w:hAnsiTheme="minorHAnsi"/>
                        <w:b/>
                        <w:bCs/>
                        <w:color w:val="000000"/>
                        <w:sz w:val="17"/>
                        <w:szCs w:val="17"/>
                        <w:lang w:eastAsia="en-US"/>
                      </w:rPr>
                      <w:t xml:space="preserve"> </w:t>
                    </w:r>
                    <w:r>
                      <w:rPr>
                        <w:rFonts w:eastAsia="Calibri" w:cs="" w:ascii="Calibri" w:hAnsi="Calibri"/>
                        <w:b/>
                        <w:bCs/>
                        <w:i w:val="false"/>
                        <w:color w:val="000000"/>
                        <w:kern w:val="0"/>
                        <w:sz w:val="18"/>
                        <w:szCs w:val="18"/>
                        <w:lang w:val="pt-BR" w:eastAsia="en-US" w:bidi="ar-SA"/>
                      </w:rPr>
                      <w:t xml:space="preserve">Departamento de Infraestrutura e Manutenções – </w:t>
                    </w:r>
                    <w:r>
                      <w:rPr>
                        <w:rFonts w:eastAsia="Calibri" w:cs="" w:ascii="Calibri" w:hAnsi="Calibri"/>
                        <w:b/>
                        <w:bCs/>
                        <w:color w:val="000000"/>
                        <w:kern w:val="0"/>
                        <w:sz w:val="18"/>
                        <w:szCs w:val="18"/>
                        <w:lang w:val="pt-BR" w:eastAsia="en-US" w:bidi="ar-SA"/>
                      </w:rPr>
                      <w:t>Educação</w:t>
                    </w:r>
                  </w:p>
                  <w:p>
                    <w:pPr>
                      <w:pStyle w:val="Contedodoquadro"/>
                      <w:widowControl/>
                      <w:suppressAutoHyphens w:val="true"/>
                      <w:bidi w:val="0"/>
                      <w:spacing w:before="0" w:after="0"/>
                      <w:ind w:left="0" w:right="-113" w:hanging="0"/>
                      <w:jc w:val="left"/>
                      <w:rPr>
                        <w:sz w:val="17"/>
                        <w:szCs w:val="17"/>
                      </w:rPr>
                    </w:pPr>
                    <w:r>
                      <w:rPr>
                        <w:rFonts w:eastAsia="Calibri" w:cs="" w:ascii="Calibri" w:hAnsi="Calibri"/>
                        <w:b/>
                        <w:bCs/>
                        <w:color w:val="000000"/>
                        <w:kern w:val="0"/>
                        <w:sz w:val="17"/>
                        <w:szCs w:val="17"/>
                        <w:lang w:val="pt-BR" w:eastAsia="en-US" w:bidi="ar-SA"/>
                      </w:rPr>
                      <w:t xml:space="preserve"> </w:t>
                    </w:r>
                    <w:r>
                      <w:rPr>
                        <w:rFonts w:eastAsia="Calibri" w:cs="" w:ascii="Calibri" w:hAnsi="Calibri"/>
                        <w:b/>
                        <w:bCs/>
                        <w:color w:val="000000"/>
                        <w:kern w:val="0"/>
                        <w:sz w:val="17"/>
                        <w:szCs w:val="17"/>
                        <w:lang w:val="pt-BR" w:eastAsia="en-US" w:bidi="ar-SA"/>
                      </w:rPr>
                      <w:t>Ofício: 35/2026/AEGFA/SMECEL</w:t>
                    </w:r>
                  </w:p>
                  <w:p>
                    <w:pPr>
                      <w:pStyle w:val="Contedodoquadro"/>
                      <w:widowControl/>
                      <w:suppressAutoHyphens w:val="true"/>
                      <w:bidi w:val="0"/>
                      <w:spacing w:before="0" w:after="0"/>
                      <w:ind w:left="0" w:right="-113" w:hanging="0"/>
                      <w:jc w:val="left"/>
                      <w:rPr>
                        <w:rFonts w:ascii="Calibri" w:hAnsi="Calibri" w:eastAsia="Calibri" w:cs=""/>
                        <w:b/>
                        <w:b/>
                        <w:bCs/>
                        <w:color w:val="000000"/>
                        <w:kern w:val="0"/>
                        <w:sz w:val="17"/>
                        <w:szCs w:val="17"/>
                        <w:lang w:val="pt-BR" w:eastAsia="en-US" w:bidi="ar-SA"/>
                      </w:rPr>
                    </w:pPr>
                    <w:r>
                      <w:rPr>
                        <w:rFonts w:eastAsia="Calibri" w:cs="" w:ascii="Calibri" w:hAnsi="Calibri"/>
                        <w:b/>
                        <w:bCs/>
                        <w:color w:val="000000"/>
                        <w:kern w:val="0"/>
                        <w:sz w:val="17"/>
                        <w:szCs w:val="17"/>
                        <w:lang w:val="pt-BR" w:eastAsia="en-US" w:bidi="ar-SA"/>
                      </w:rPr>
                    </w:r>
                  </w:p>
                  <w:p>
                    <w:pPr>
                      <w:pStyle w:val="Contedodoquadro"/>
                      <w:widowControl/>
                      <w:suppressAutoHyphens w:val="true"/>
                      <w:bidi w:val="0"/>
                      <w:spacing w:before="0" w:after="0"/>
                      <w:ind w:left="0" w:right="454" w:hanging="0"/>
                      <w:jc w:val="right"/>
                      <w:rPr>
                        <w:b w:val="false"/>
                        <w:b w:val="false"/>
                        <w:bCs w:val="false"/>
                      </w:rPr>
                    </w:pPr>
                    <w:r>
                      <w:rPr>
                        <w:rFonts w:eastAsia="Calibri" w:cs="" w:ascii="Calibri" w:hAnsi="Calibri" w:asciiTheme="minorHAnsi" w:cstheme="minorBidi" w:eastAsiaTheme="minorHAnsi" w:hAnsiTheme="minorHAnsi"/>
                        <w:b w:val="false"/>
                        <w:bCs w:val="false"/>
                        <w:color w:val="000000"/>
                        <w:sz w:val="17"/>
                        <w:szCs w:val="17"/>
                        <w:lang w:eastAsia="en-US"/>
                      </w:rPr>
                      <w:t>Rondonópolis, 30 de janeiro de 2026</w:t>
                    </w:r>
                    <w:r>
                      <w:rPr>
                        <w:rFonts w:eastAsia="Calibri" w:cs="" w:ascii="Calibri" w:hAnsi="Calibri" w:asciiTheme="minorHAnsi" w:cstheme="minorBidi" w:eastAsiaTheme="minorHAnsi" w:hAnsiTheme="minorHAnsi"/>
                        <w:b w:val="false"/>
                        <w:bCs w:val="false"/>
                        <w:color w:val="000000"/>
                        <w:sz w:val="18"/>
                        <w:szCs w:val="18"/>
                        <w:lang w:eastAsia="en-US"/>
                      </w:rPr>
                      <w:t>.</w:t>
                    </w:r>
                  </w:p>
                  <w:p>
                    <w:pPr>
                      <w:pStyle w:val="Contedodoquadro"/>
                      <w:overflowPunct w:val="true"/>
                      <w:jc w:val="center"/>
                      <w:rPr>
                        <w:color w:val="000000"/>
                      </w:rPr>
                    </w:pPr>
                    <w:r>
                      <w:rPr>
                        <w:color w:val="000000"/>
                      </w:rPr>
                    </w:r>
                  </w:p>
                </w:txbxContent>
              </v:textbox>
              <w10:wrap type="none"/>
            </v:rect>
          </w:pict>
        </mc:Fallback>
      </mc:AlternateContent>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t>fdessee</w:t>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Cabealho"/>
      <w:ind w:left="3261" w:hanging="0"/>
      <w:rPr>
        <w:sz w:val="2"/>
      </w:rPr>
    </w:pPr>
    <w:r>
      <w:rPr>
        <w:sz w:val="2"/>
      </w:rPr>
    </w:r>
  </w:p>
  <w:p>
    <w:pPr>
      <w:pStyle w:val="Normal"/>
      <w:ind w:left="3544" w:hanging="0"/>
      <w:rPr>
        <w:rFonts w:ascii="Calibri" w:hAnsi="Calibri" w:cs="Calibri" w:asciiTheme="minorHAnsi" w:cstheme="minorHAnsi" w:hAnsiTheme="minorHAnsi"/>
        <w:b/>
        <w:b/>
        <w:sz w:val="18"/>
      </w:rPr>
    </w:pPr>
    <w:r>
      <w:rPr>
        <w:rFonts w:cs="Calibri" w:cstheme="minorHAnsi" w:ascii="Calibri" w:hAnsi="Calibri"/>
        <w:b/>
        <w:sz w:val="18"/>
      </w:rPr>
    </w:r>
  </w:p>
  <w:p>
    <w:pPr>
      <w:pStyle w:val="Cabealho"/>
      <w:rPr/>
    </w:pPr>
    <w:r>
      <w:rPr/>
    </w:r>
  </w:p>
  <w:p>
    <w:pPr>
      <w:pStyle w:val="Cabealho"/>
      <w:rPr/>
    </w:pPr>
    <w:r>
      <w:rPr/>
    </w:r>
  </w:p>
  <w:p>
    <w:pPr>
      <w:pStyle w:val="Cabealho"/>
      <w:rPr/>
    </w:pPr>
    <w:r>
      <w:rPr/>
      <mc:AlternateContent>
        <mc:Choice Requires="wps">
          <w:drawing>
            <wp:anchor behindDoc="1" distT="0" distB="0" distL="0" distR="0" simplePos="0" locked="0" layoutInCell="0" allowOverlap="1" relativeHeight="5" wp14:anchorId="430D063B">
              <wp:simplePos x="0" y="0"/>
              <wp:positionH relativeFrom="column">
                <wp:posOffset>927100</wp:posOffset>
              </wp:positionH>
              <wp:positionV relativeFrom="paragraph">
                <wp:posOffset>2117090</wp:posOffset>
              </wp:positionV>
              <wp:extent cx="4725035" cy="4725035"/>
              <wp:effectExtent l="0" t="0" r="0" b="0"/>
              <wp:wrapNone/>
              <wp:docPr id="4" name="Figura1"/>
              <a:graphic xmlns:a="http://schemas.openxmlformats.org/drawingml/2006/main">
                <a:graphicData uri="http://schemas.openxmlformats.org/drawingml/2006/picture">
                  <pic:pic xmlns:pic="http://schemas.openxmlformats.org/drawingml/2006/picture">
                    <pic:nvPicPr>
                      <pic:cNvPr id="0" name="Figura1" descr=""/>
                      <pic:cNvPicPr/>
                    </pic:nvPicPr>
                    <pic:blipFill>
                      <a:blip r:embed="rId2">
                        <a:extLst>
                          <a:ext uri="{BEBA8EAE-BF5A-486C-A8C5-ECC9F3942E4B}">
                            <a14:imgProps xmlns:a14="http://schemas.microsoft.com/office/drawing/2010/main">
                              <a14:imgLayer r:embed="rId3">
                                <a14:imgEffect>
                                  <a14:brightnessContrast bright="79000" contrast="66000"/>
                                </a14:imgEffect>
                              </a14:imgLayer>
                            </a14:imgProps>
                          </a:ext>
                        </a:extLst>
                      </a:blip>
                      <a:stretch/>
                    </pic:blipFill>
                    <pic:spPr>
                      <a:xfrm>
                        <a:off x="0" y="0"/>
                        <a:ext cx="4725000" cy="472500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ura1" stroked="f" o:allowincell="f" style="position:absolute;margin-left:73pt;margin-top:166.7pt;width:372pt;height:372pt;mso-wrap-style:none;v-text-anchor:middle" wp14:anchorId="430D063B" type="_x0000_t75">
              <v:imagedata r:id="rId2" o:detectmouseclick="t"/>
              <v:stroke color="#3465a4" joinstyle="round" endcap="flat"/>
              <w10:wrap type="none"/>
            </v:shape>
          </w:pict>
        </mc:Fallback>
      </mc:AlternateContent>
      <mc:AlternateContent>
        <mc:Choice Requires="wps">
          <w:drawing>
            <wp:anchor behindDoc="1" distT="635" distB="0" distL="0" distR="635" simplePos="0" locked="0" layoutInCell="0" allowOverlap="1" relativeHeight="9" wp14:anchorId="6653B8B2">
              <wp:simplePos x="0" y="0"/>
              <wp:positionH relativeFrom="column">
                <wp:posOffset>-287020</wp:posOffset>
              </wp:positionH>
              <wp:positionV relativeFrom="paragraph">
                <wp:posOffset>90805</wp:posOffset>
              </wp:positionV>
              <wp:extent cx="48895" cy="8756015"/>
              <wp:effectExtent l="0" t="635" r="635" b="0"/>
              <wp:wrapNone/>
              <wp:docPr id="5" name="Conector reto 12"/>
              <a:graphic xmlns:a="http://schemas.openxmlformats.org/drawingml/2006/main">
                <a:graphicData uri="http://schemas.microsoft.com/office/word/2010/wordprocessingShape">
                  <wps:wsp>
                    <wps:cNvSpPr/>
                    <wps:spPr>
                      <a:xfrm>
                        <a:off x="0" y="0"/>
                        <a:ext cx="48960" cy="8755920"/>
                      </a:xfrm>
                      <a:prstGeom prst="line">
                        <a:avLst/>
                      </a:prstGeom>
                      <a:ln>
                        <a:noFill/>
                      </a:ln>
                    </wps:spPr>
                    <wps:style>
                      <a:lnRef idx="2">
                        <a:schemeClr val="accent1"/>
                      </a:lnRef>
                      <a:fillRef idx="0">
                        <a:schemeClr val="accent1"/>
                      </a:fillRef>
                      <a:effectRef idx="1">
                        <a:schemeClr val="accent1"/>
                      </a:effectRef>
                      <a:fontRef idx="minor"/>
                    </wps:style>
                    <wps:bodyPr/>
                  </wps:wsp>
                </a:graphicData>
              </a:graphic>
            </wp:anchor>
          </w:drawing>
        </mc:Choice>
        <mc:Fallback>
          <w:pict>
            <v:line id="shape_0" from="-22.6pt,7.15pt" to="-18.8pt,696.55pt" ID="Conector reto 12" stroked="f" o:allowincell="f" style="position:absolute" wp14:anchorId="6653B8B2">
              <v:stroke color="#3465a4" weight="25560" joinstyle="round" endcap="flat"/>
              <v:fill o:detectmouseclick="t" on="false"/>
              <w10:wrap type="none"/>
            </v:line>
          </w:pict>
        </mc:Fallback>
      </mc:AlternateContent>
      <mc:AlternateContent>
        <mc:Choice Requires="wps">
          <w:drawing>
            <wp:anchor behindDoc="1" distT="635" distB="635" distL="635" distR="0" simplePos="0" locked="0" layoutInCell="0" allowOverlap="1" relativeHeight="13" wp14:anchorId="47A24DA0">
              <wp:simplePos x="0" y="0"/>
              <wp:positionH relativeFrom="column">
                <wp:posOffset>-286385</wp:posOffset>
              </wp:positionH>
              <wp:positionV relativeFrom="paragraph">
                <wp:posOffset>88265</wp:posOffset>
              </wp:positionV>
              <wp:extent cx="6939280" cy="635"/>
              <wp:effectExtent l="635" t="635" r="0" b="635"/>
              <wp:wrapNone/>
              <wp:docPr id="6" name="Conector reto 2"/>
              <a:graphic xmlns:a="http://schemas.openxmlformats.org/drawingml/2006/main">
                <a:graphicData uri="http://schemas.microsoft.com/office/word/2010/wordprocessingShape">
                  <wps:wsp>
                    <wps:cNvSpPr/>
                    <wps:spPr>
                      <a:xfrm>
                        <a:off x="0" y="0"/>
                        <a:ext cx="6939360" cy="720"/>
                      </a:xfrm>
                      <a:prstGeom prst="line">
                        <a:avLst/>
                      </a:prstGeom>
                      <a:ln>
                        <a:noFill/>
                      </a:ln>
                    </wps:spPr>
                    <wps:style>
                      <a:lnRef idx="2">
                        <a:schemeClr val="accent1"/>
                      </a:lnRef>
                      <a:fillRef idx="0">
                        <a:schemeClr val="accent1"/>
                      </a:fillRef>
                      <a:effectRef idx="1">
                        <a:schemeClr val="accent1"/>
                      </a:effectRef>
                      <a:fontRef idx="minor"/>
                    </wps:style>
                    <wps:bodyPr/>
                  </wps:wsp>
                </a:graphicData>
              </a:graphic>
            </wp:anchor>
          </w:drawing>
        </mc:Choice>
        <mc:Fallback>
          <w:pict>
            <v:line id="shape_0" from="-22.55pt,6.95pt" to="523.8pt,6.95pt" ID="Conector reto 2" stroked="f" o:allowincell="f" style="position:absolute" wp14:anchorId="47A24DA0">
              <v:stroke color="#3465a4" weight="25560" joinstyle="round" endcap="flat"/>
              <v:fill o:detectmouseclick="t" on="false"/>
              <w10:wrap type="none"/>
            </v:lin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182a"/>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Ttulo1">
    <w:name w:val="Heading 1"/>
    <w:basedOn w:val="Normal"/>
    <w:next w:val="Normal"/>
    <w:link w:val="Ttulo1Char"/>
    <w:uiPriority w:val="9"/>
    <w:qFormat/>
    <w:rsid w:val="00c3182a"/>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uiPriority w:val="9"/>
    <w:semiHidden/>
    <w:unhideWhenUsed/>
    <w:qFormat/>
    <w:rsid w:val="00c3182a"/>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Ttulo3">
    <w:name w:val="Heading 3"/>
    <w:basedOn w:val="Ttulo"/>
    <w:next w:val="Corpodotexto"/>
    <w:qFormat/>
    <w:pPr>
      <w:spacing w:before="140" w:after="120"/>
      <w:outlineLvl w:val="2"/>
    </w:pPr>
    <w:rPr>
      <w:rFonts w:ascii="Liberation Serif" w:hAnsi="Liberation Serif" w:eastAsia="Segoe UI" w:cs="Tahoma"/>
      <w:b/>
      <w:bCs/>
      <w:sz w:val="28"/>
      <w:szCs w:val="28"/>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c3182a"/>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Ttulo2Char" w:customStyle="1">
    <w:name w:val="Título 2 Char"/>
    <w:basedOn w:val="DefaultParagraphFont"/>
    <w:uiPriority w:val="9"/>
    <w:semiHidden/>
    <w:qFormat/>
    <w:rsid w:val="00c3182a"/>
    <w:rPr>
      <w:rFonts w:ascii="Cambria" w:hAnsi="Cambria" w:eastAsia="" w:cs="" w:asciiTheme="majorHAnsi" w:cstheme="majorBidi" w:eastAsiaTheme="majorEastAsia" w:hAnsiTheme="majorHAnsi"/>
      <w:b/>
      <w:bCs/>
      <w:color w:val="4F81BD" w:themeColor="accent1"/>
      <w:sz w:val="26"/>
      <w:szCs w:val="26"/>
      <w:lang w:eastAsia="pt-BR"/>
    </w:rPr>
  </w:style>
  <w:style w:type="character" w:styleId="CabealhoChar" w:customStyle="1">
    <w:name w:val="Cabeçalho Char"/>
    <w:basedOn w:val="DefaultParagraphFont"/>
    <w:uiPriority w:val="99"/>
    <w:qFormat/>
    <w:rsid w:val="00c3182a"/>
    <w:rPr/>
  </w:style>
  <w:style w:type="character" w:styleId="RodapChar" w:customStyle="1">
    <w:name w:val="Rodapé Char"/>
    <w:basedOn w:val="DefaultParagraphFont"/>
    <w:uiPriority w:val="99"/>
    <w:qFormat/>
    <w:rsid w:val="00c3182a"/>
    <w:rPr/>
  </w:style>
  <w:style w:type="character" w:styleId="LinkdaInternet">
    <w:name w:val="Link da Internet"/>
    <w:basedOn w:val="DefaultParagraphFont"/>
    <w:uiPriority w:val="99"/>
    <w:unhideWhenUsed/>
    <w:rsid w:val="00c3182a"/>
    <w:rPr>
      <w:color w:val="0000FF" w:themeColor="hyperlink"/>
      <w:u w:val="single"/>
    </w:rPr>
  </w:style>
  <w:style w:type="character" w:styleId="RecuodecorpodetextoChar" w:customStyle="1">
    <w:name w:val="Recuo de corpo de texto Char"/>
    <w:basedOn w:val="DefaultParagraphFont"/>
    <w:qFormat/>
    <w:rsid w:val="00c3182a"/>
    <w:rPr>
      <w:rFonts w:ascii="Times New Roman" w:hAnsi="Times New Roman" w:eastAsia="Times New Roman" w:cs="Times New Roman"/>
      <w:sz w:val="28"/>
      <w:szCs w:val="20"/>
      <w:lang w:eastAsia="pt-BR"/>
    </w:rPr>
  </w:style>
  <w:style w:type="character" w:styleId="TextodebaloChar" w:customStyle="1">
    <w:name w:val="Texto de balão Char"/>
    <w:basedOn w:val="DefaultParagraphFont"/>
    <w:link w:val="BalloonText"/>
    <w:uiPriority w:val="99"/>
    <w:semiHidden/>
    <w:qFormat/>
    <w:rsid w:val="00120d1e"/>
    <w:rPr>
      <w:rFonts w:ascii="Tahoma" w:hAnsi="Tahoma" w:eastAsia="Times New Roman" w:cs="Tahoma"/>
      <w:sz w:val="16"/>
      <w:szCs w:val="16"/>
      <w:lang w:eastAsia="pt-BR"/>
    </w:rPr>
  </w:style>
  <w:style w:type="character" w:styleId="Appleconvertedspace" w:customStyle="1">
    <w:name w:val="apple-converted-space"/>
    <w:basedOn w:val="DefaultParagraphFont"/>
    <w:qFormat/>
    <w:rsid w:val="00d46b43"/>
    <w:rPr/>
  </w:style>
  <w:style w:type="character" w:styleId="Fontepargpadro7">
    <w:name w:val="Fonte parág. padrão7"/>
    <w:qFormat/>
    <w:rPr/>
  </w:style>
  <w:style w:type="character" w:styleId="Fontepargpadro1">
    <w:name w:val="Fonte parág. padrão1"/>
    <w:qFormat/>
    <w:rPr/>
  </w:style>
  <w:style w:type="character" w:styleId="Fontepargpadro">
    <w:name w:val="Fonte parág. padrão"/>
    <w:qFormat/>
    <w:rPr/>
  </w:style>
  <w:style w:type="character" w:styleId="Strong">
    <w:name w:val="Strong"/>
    <w:qFormat/>
    <w:rPr>
      <w:b/>
      <w:bCs/>
    </w:rPr>
  </w:style>
  <w:style w:type="character" w:styleId="Marcadores">
    <w:name w:val="Marcadores"/>
    <w:qFormat/>
    <w:rPr>
      <w:rFonts w:ascii="OpenSymbol" w:hAnsi="OpenSymbol" w:eastAsia="OpenSymbol" w:cs="OpenSymbol"/>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c3182a"/>
    <w:pPr>
      <w:tabs>
        <w:tab w:val="clear" w:pos="708"/>
        <w:tab w:val="center" w:pos="4252" w:leader="none"/>
        <w:tab w:val="right" w:pos="8504" w:leader="none"/>
      </w:tabs>
    </w:pPr>
    <w:rPr>
      <w:rFonts w:ascii="Calibri" w:hAnsi="Calibri" w:eastAsia="Calibri" w:cs="" w:asciiTheme="minorHAnsi" w:cstheme="minorBidi" w:eastAsiaTheme="minorHAnsi" w:hAnsiTheme="minorHAnsi"/>
      <w:sz w:val="22"/>
      <w:szCs w:val="22"/>
      <w:lang w:eastAsia="en-US"/>
    </w:rPr>
  </w:style>
  <w:style w:type="paragraph" w:styleId="Rodap">
    <w:name w:val="Footer"/>
    <w:basedOn w:val="Normal"/>
    <w:link w:val="RodapChar"/>
    <w:uiPriority w:val="99"/>
    <w:unhideWhenUsed/>
    <w:rsid w:val="00c3182a"/>
    <w:pPr>
      <w:tabs>
        <w:tab w:val="clear" w:pos="708"/>
        <w:tab w:val="center" w:pos="4252" w:leader="none"/>
        <w:tab w:val="right" w:pos="8504" w:leader="none"/>
      </w:tabs>
    </w:pPr>
    <w:rPr>
      <w:rFonts w:ascii="Calibri" w:hAnsi="Calibri" w:eastAsia="Calibri" w:cs="" w:asciiTheme="minorHAnsi" w:cstheme="minorBidi" w:eastAsiaTheme="minorHAnsi" w:hAnsiTheme="minorHAnsi"/>
      <w:sz w:val="22"/>
      <w:szCs w:val="22"/>
      <w:lang w:eastAsia="en-US"/>
    </w:rPr>
  </w:style>
  <w:style w:type="paragraph" w:styleId="Corpodotextorecuado">
    <w:name w:val="Body Text Indent"/>
    <w:basedOn w:val="Normal"/>
    <w:link w:val="RecuodecorpodetextoChar"/>
    <w:rsid w:val="00c3182a"/>
    <w:pPr>
      <w:ind w:firstLine="1560"/>
    </w:pPr>
    <w:rPr>
      <w:sz w:val="28"/>
    </w:rPr>
  </w:style>
  <w:style w:type="paragraph" w:styleId="Default" w:customStyle="1">
    <w:name w:val="Default"/>
    <w:qFormat/>
    <w:rsid w:val="00aa2d18"/>
    <w:pPr>
      <w:widowControl/>
      <w:suppressAutoHyphens w:val="true"/>
      <w:bidi w:val="0"/>
      <w:spacing w:before="0" w:after="0"/>
      <w:jc w:val="left"/>
    </w:pPr>
    <w:rPr>
      <w:rFonts w:ascii="Arial" w:hAnsi="Arial" w:eastAsia="Calibri" w:cs="Arial"/>
      <w:color w:val="000000"/>
      <w:kern w:val="0"/>
      <w:sz w:val="24"/>
      <w:szCs w:val="24"/>
      <w:lang w:val="pt-BR" w:eastAsia="en-US" w:bidi="ar-SA"/>
    </w:rPr>
  </w:style>
  <w:style w:type="paragraph" w:styleId="BalloonText">
    <w:name w:val="Balloon Text"/>
    <w:basedOn w:val="Normal"/>
    <w:link w:val="TextodebaloChar"/>
    <w:uiPriority w:val="99"/>
    <w:semiHidden/>
    <w:unhideWhenUsed/>
    <w:qFormat/>
    <w:rsid w:val="00120d1e"/>
    <w:pPr/>
    <w:rPr>
      <w:rFonts w:ascii="Tahoma" w:hAnsi="Tahoma" w:cs="Tahoma"/>
      <w:sz w:val="16"/>
      <w:szCs w:val="16"/>
    </w:rPr>
  </w:style>
  <w:style w:type="paragraph" w:styleId="ListParagraph">
    <w:name w:val="List Paragraph"/>
    <w:basedOn w:val="Normal"/>
    <w:uiPriority w:val="34"/>
    <w:qFormat/>
    <w:rsid w:val="00a71e48"/>
    <w:pPr>
      <w:spacing w:before="0" w:after="0"/>
      <w:ind w:left="720" w:hanging="0"/>
      <w:contextualSpacing/>
    </w:pPr>
    <w:rPr/>
  </w:style>
  <w:style w:type="paragraph" w:styleId="NoSpacing">
    <w:name w:val="No Spacing"/>
    <w:uiPriority w:val="1"/>
    <w:qFormat/>
    <w:rsid w:val="00f6046f"/>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Textoprformatado" w:customStyle="1">
    <w:name w:val="Texto préformatado"/>
    <w:basedOn w:val="Normal"/>
    <w:qFormat/>
    <w:pPr/>
    <w:rPr>
      <w:rFonts w:ascii="Liberation Mono;Courier New" w:hAnsi="Liberation Mono;Courier New" w:eastAsia="NSimSun" w:cs="Liberation Mono;Courier New"/>
    </w:rPr>
  </w:style>
  <w:style w:type="paragraph" w:styleId="Contedodoquadro" w:customStyle="1">
    <w:name w:val="Conteúdo do quadro"/>
    <w:basedOn w:val="Normal"/>
    <w:qFormat/>
    <w:pPr/>
    <w:rPr/>
  </w:style>
  <w:style w:type="paragraph" w:styleId="BodyTextIndent3">
    <w:name w:val="Body Text Indent 3"/>
    <w:basedOn w:val="Normal"/>
    <w:qFormat/>
    <w:pPr>
      <w:spacing w:before="0" w:after="120"/>
      <w:ind w:left="283" w:hanging="0"/>
    </w:pPr>
    <w:rPr>
      <w:sz w:val="16"/>
      <w:szCs w:val="16"/>
    </w:rPr>
  </w:style>
  <w:style w:type="paragraph" w:styleId="Textbodyindent">
    <w:name w:val="Text body indent"/>
    <w:basedOn w:val="Normal"/>
    <w:qFormat/>
    <w:pPr>
      <w:suppressAutoHyphens w:val="true"/>
      <w:spacing w:lineRule="auto" w:line="240" w:before="0" w:after="0"/>
      <w:ind w:firstLine="1560"/>
      <w:textAlignment w:val="baseline"/>
    </w:pPr>
    <w:rPr>
      <w:rFonts w:ascii="Liberation Serif" w:hAnsi="Liberation Serif" w:eastAsia="NSimSun" w:cs="Arial"/>
      <w:kern w:val="2"/>
      <w:sz w:val="28"/>
      <w:szCs w:val="24"/>
      <w:lang w:eastAsia="zh-CN" w:bidi="hi-IN"/>
    </w:rPr>
  </w:style>
  <w:style w:type="paragraph" w:styleId="Standard">
    <w:name w:val="Standard"/>
    <w:qFormat/>
    <w:pPr>
      <w:widowControl/>
      <w:suppressAutoHyphens w:val="true"/>
      <w:overflowPunct w:val="false"/>
      <w:bidi w:val="0"/>
      <w:spacing w:before="0" w:after="0"/>
      <w:jc w:val="left"/>
      <w:textAlignment w:val="baseline"/>
    </w:pPr>
    <w:rPr>
      <w:rFonts w:ascii="Liberation Serif" w:hAnsi="Liberation Serif" w:eastAsia="SimSun;宋体" w:cs="Mangal"/>
      <w:color w:val="auto"/>
      <w:kern w:val="2"/>
      <w:sz w:val="24"/>
      <w:szCs w:val="24"/>
      <w:lang w:val="en-US" w:eastAsia="zh-CN" w:bidi="hi-IN"/>
    </w:rPr>
  </w:style>
  <w:style w:type="paragraph" w:styleId="Contedodatabela">
    <w:name w:val="Conteúdo da tabela"/>
    <w:basedOn w:val="Standard"/>
    <w:qFormat/>
    <w:pPr>
      <w:suppressLineNumbers/>
    </w:pPr>
    <w:rPr/>
  </w:style>
  <w:style w:type="paragraph" w:styleId="Ttulodetabela">
    <w:name w:val="Título de tabela"/>
    <w:basedOn w:val="Contedodatabela"/>
    <w:qFormat/>
    <w:pPr>
      <w:suppressLineNumbers/>
      <w:jc w:val="center"/>
    </w:pPr>
    <w:rPr>
      <w:b/>
      <w:bCs/>
    </w:rPr>
  </w:style>
  <w:style w:type="paragraph" w:styleId="NormalWeb">
    <w:name w:val="Normal (Web)"/>
    <w:basedOn w:val="Normal"/>
    <w:qFormat/>
    <w:pPr>
      <w:spacing w:lineRule="auto" w:line="240" w:beforeAutospacing="1" w:afterAutospacing="1"/>
    </w:pPr>
    <w:rPr>
      <w:rFonts w:ascii="Times New Roman" w:hAnsi="Times New Roman" w:eastAsia="Times New Roman" w:cs="Times New Roman"/>
      <w:sz w:val="24"/>
      <w:szCs w:val="24"/>
      <w:lang w:eastAsia="pt-BR"/>
    </w:rPr>
  </w:style>
  <w:style w:type="paragraph" w:styleId="Linhahorizontal">
    <w:name w:val="Linha horizontal"/>
    <w:basedOn w:val="Normal"/>
    <w:next w:val="Corpodotexto"/>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11482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jpeg"/>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microsoft.com/office/2007/relationships/hdphoto" Target="media/hdphoto1.wdp"/>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757</TotalTime>
  <Application>LibreOffice/7.3.1.3$Windows_X86_64 LibreOffice_project/a69ca51ded25f3eefd52d7bf9a5fad8c90b87951</Application>
  <AppVersion>15.0000</AppVersion>
  <Pages>4</Pages>
  <Words>1370</Words>
  <Characters>8743</Characters>
  <CharactersWithSpaces>10041</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2025-01-22T13:19:00Z</dcterms:created>
  <dc:creator>principal</dc:creator>
  <dc:description/>
  <dc:language>pt-BR</dc:language>
  <cp:lastModifiedBy/>
  <cp:lastPrinted>2025-11-26T10:10:01Z</cp:lastPrinted>
  <dcterms:modified xsi:type="dcterms:W3CDTF">2026-01-30T11:03:30Z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file>